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Prototyping Template</w:t>
      </w:r>
    </w:p>
    <w:tbl>
      <w:tblPr>
        <w:tblStyle w:val="Table1"/>
        <w:tblW w:w="21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gridCol w:w="7200"/>
        <w:tblGridChange w:id="0">
          <w:tblGrid>
            <w:gridCol w:w="7200"/>
            <w:gridCol w:w="7200"/>
            <w:gridCol w:w="7200"/>
          </w:tblGrid>
        </w:tblGridChange>
      </w:tblGrid>
      <w:tr>
        <w:trPr>
          <w:cantSplit w:val="0"/>
          <w:trHeight w:val="25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insights and priorities do we need to keep in mind throughout the design process?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By the end of 8th Grade students should…</w:t>
            </w:r>
          </w:p>
        </w:tc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Possible Strategies, Activities, Resources and Tools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Campus Assets to Link and Leverage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2955729166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an “8th-grade ECAP” that includes completing a career assessment, identifying possible careers, building out a career profile, and creating a 4–6-year educational plan.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2955729166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Gain exposure to and awareness of local, regional, and national career opportunities and career clusters.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2955729166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self-awareness and begin to incorporate occupational interests into self-identity.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2955729166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awareness and interpersonal connections to the world of work through experiences with potential employers, professional role models, and mentors.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2955729166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professional skills as outlined in the 5-8 Career Literacy Standards.</w:t>
            </w:r>
            <w:r w:rsidDel="00000000" w:rsidR="00000000" w:rsidRPr="00000000">
              <w:rPr>
                <w:rFonts w:ascii="Calibri" w:cs="Calibri" w:eastAsia="Calibri" w:hAnsi="Calibri"/>
                <w:color w:val="980000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980000"/>
                <w:rtl w:val="0"/>
              </w:rPr>
              <w:t xml:space="preserve">Districts may want to list or highlight skills here</w:t>
            </w:r>
            <w:r w:rsidDel="00000000" w:rsidR="00000000" w:rsidRPr="00000000">
              <w:rPr>
                <w:rFonts w:ascii="Calibri" w:cs="Calibri" w:eastAsia="Calibri" w:hAnsi="Calibri"/>
                <w:color w:val="980000"/>
                <w:rtl w:val="0"/>
              </w:rPr>
              <w:t xml:space="preserve">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98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80000"/>
                <w:rtl w:val="0"/>
              </w:rPr>
              <w:t xml:space="preserve">Additional district-specific outcomes?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might we implement MS Career Exploration at our school? (List any and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all ideas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you have at this time. Even if it seems like a “down the road” idea, document it!)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24480" w:orient="landscape"/>
      <w:pgMar w:bottom="99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6367463</wp:posOffset>
          </wp:positionH>
          <wp:positionV relativeFrom="paragraph">
            <wp:posOffset>114300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>
        <w:rFonts w:ascii="Calibri" w:cs="Calibri" w:eastAsia="Calibri" w:hAnsi="Calibri"/>
        <w:color w:val="073763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