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League Spartan" w:cs="League Spartan" w:eastAsia="League Spartan" w:hAnsi="League Spartan"/>
        </w:rPr>
      </w:pPr>
      <w:bookmarkStart w:colFirst="0" w:colLast="0" w:name="_7rjr2jqlq2u4" w:id="0"/>
      <w:bookmarkEnd w:id="0"/>
      <w:r w:rsidDel="00000000" w:rsidR="00000000" w:rsidRPr="00000000">
        <w:rPr>
          <w:rtl w:val="0"/>
        </w:rPr>
        <w:t xml:space="preserve">College </w:t>
      </w:r>
      <w:r w:rsidDel="00000000" w:rsidR="00000000" w:rsidRPr="00000000">
        <w:rPr>
          <w:rFonts w:ascii="League Spartan" w:cs="League Spartan" w:eastAsia="League Spartan" w:hAnsi="League Spartan"/>
          <w:rtl w:val="0"/>
        </w:rPr>
        <w:t xml:space="preserve">Credit Prior Approval Form</w:t>
      </w:r>
    </w:p>
    <w:p w:rsidR="00000000" w:rsidDel="00000000" w:rsidP="00000000" w:rsidRDefault="00000000" w:rsidRPr="00000000" w14:paraId="00000002">
      <w:pPr>
        <w:pStyle w:val="Subtitle"/>
        <w:rPr>
          <w:rFonts w:ascii="Libre Baskerville" w:cs="Libre Baskerville" w:eastAsia="Libre Baskerville" w:hAnsi="Libre Baskerville"/>
          <w:i w:val="1"/>
        </w:rPr>
      </w:pPr>
      <w:bookmarkStart w:colFirst="0" w:colLast="0" w:name="_rqwn93jy1my5" w:id="1"/>
      <w:bookmarkEnd w:id="1"/>
      <w:r w:rsidDel="00000000" w:rsidR="00000000" w:rsidRPr="00000000">
        <w:rPr>
          <w:rtl w:val="0"/>
        </w:rPr>
        <w:t xml:space="preserve">Pre-Approved List: College Courses Completed at Partner College</w:t>
      </w:r>
      <w:r w:rsidDel="00000000" w:rsidR="00000000" w:rsidRPr="00000000">
        <w:rPr>
          <w:rtl w:val="0"/>
        </w:rPr>
      </w:r>
    </w:p>
    <w:p w:rsidR="00000000" w:rsidDel="00000000" w:rsidP="00000000" w:rsidRDefault="00000000" w:rsidRPr="00000000" w14:paraId="00000003">
      <w:pPr>
        <w:jc w:val="both"/>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Students that successfully complete a college course outside of the regular high school schedule must have prior approval for the credit to be applied to the high school transcript.</w:t>
      </w:r>
    </w:p>
    <w:p w:rsidR="00000000" w:rsidDel="00000000" w:rsidP="00000000" w:rsidRDefault="00000000" w:rsidRPr="00000000" w14:paraId="00000004">
      <w:pPr>
        <w:jc w:val="both"/>
        <w:rPr>
          <w:rFonts w:ascii="Libre Baskerville" w:cs="Libre Baskerville" w:eastAsia="Libre Baskerville" w:hAnsi="Libre Baskervill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16"/>
                <w:szCs w:val="16"/>
              </w:rPr>
            </w:pPr>
            <w:r w:rsidDel="00000000" w:rsidR="00000000" w:rsidRPr="00000000">
              <w:rPr>
                <w:rFonts w:ascii="Libre Baskerville" w:cs="Libre Baskerville" w:eastAsia="Libre Baskerville" w:hAnsi="Libre Baskerville"/>
                <w:sz w:val="16"/>
                <w:szCs w:val="16"/>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Libre Baskerville" w:cs="Libre Baskerville" w:eastAsia="Libre Baskerville" w:hAnsi="Libre Baskerville"/>
                <w:sz w:val="16"/>
                <w:szCs w:val="16"/>
              </w:rPr>
            </w:pPr>
            <w:r w:rsidDel="00000000" w:rsidR="00000000" w:rsidRPr="00000000">
              <w:rPr>
                <w:rFonts w:ascii="Libre Baskerville" w:cs="Libre Baskerville" w:eastAsia="Libre Baskerville" w:hAnsi="Libre Baskerville"/>
                <w:sz w:val="16"/>
                <w:szCs w:val="16"/>
                <w:rtl w:val="0"/>
              </w:rPr>
              <w:t xml:space="preserve">Student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Libre Baskerville" w:cs="Libre Baskerville" w:eastAsia="Libre Baskerville" w:hAnsi="Libre Baskerville"/>
                <w:sz w:val="16"/>
                <w:szCs w:val="16"/>
              </w:rPr>
            </w:pPr>
            <w:r w:rsidDel="00000000" w:rsidR="00000000" w:rsidRPr="00000000">
              <w:rPr>
                <w:rFonts w:ascii="Libre Baskerville" w:cs="Libre Baskerville" w:eastAsia="Libre Baskerville" w:hAnsi="Libre Baskerville"/>
                <w:sz w:val="16"/>
                <w:szCs w:val="16"/>
                <w:rtl w:val="0"/>
              </w:rPr>
              <w:t xml:space="preserve">Student ID#</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Libre Baskerville" w:cs="Libre Baskerville" w:eastAsia="Libre Baskerville" w:hAnsi="Libre Baskerville"/>
                <w:sz w:val="16"/>
                <w:szCs w:val="16"/>
              </w:rPr>
            </w:pPr>
            <w:r w:rsidDel="00000000" w:rsidR="00000000" w:rsidRPr="00000000">
              <w:rPr>
                <w:rFonts w:ascii="Libre Baskerville" w:cs="Libre Baskerville" w:eastAsia="Libre Baskerville" w:hAnsi="Libre Baskerville"/>
                <w:sz w:val="16"/>
                <w:szCs w:val="16"/>
                <w:rtl w:val="0"/>
              </w:rPr>
              <w:t xml:space="preserve">Student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Libre Baskerville" w:cs="Libre Baskerville" w:eastAsia="Libre Baskerville" w:hAnsi="Libre Baskerville"/>
                <w:sz w:val="16"/>
                <w:szCs w:val="16"/>
              </w:rPr>
            </w:pPr>
            <w:r w:rsidDel="00000000" w:rsidR="00000000" w:rsidRPr="00000000">
              <w:rPr>
                <w:rFonts w:ascii="Libre Baskerville" w:cs="Libre Baskerville" w:eastAsia="Libre Baskerville" w:hAnsi="Libre Baskerville"/>
                <w:sz w:val="16"/>
                <w:szCs w:val="16"/>
                <w:rtl w:val="0"/>
              </w:rPr>
              <w:t xml:space="preserve">Counselor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Libre Baskerville" w:cs="Libre Baskerville" w:eastAsia="Libre Baskerville" w:hAnsi="Libre Baskerville"/>
                <w:sz w:val="16"/>
                <w:szCs w:val="16"/>
              </w:rPr>
            </w:pPr>
            <w:r w:rsidDel="00000000" w:rsidR="00000000" w:rsidRPr="00000000">
              <w:rPr>
                <w:rFonts w:ascii="Libre Baskerville" w:cs="Libre Baskerville" w:eastAsia="Libre Baskerville" w:hAnsi="Libre Baskerville"/>
                <w:sz w:val="16"/>
                <w:szCs w:val="16"/>
                <w:rtl w:val="0"/>
              </w:rPr>
              <w:t xml:space="preserve">Parent Name</w:t>
            </w:r>
          </w:p>
          <w:p w:rsidR="00000000" w:rsidDel="00000000" w:rsidP="00000000" w:rsidRDefault="00000000" w:rsidRPr="00000000" w14:paraId="0000000D">
            <w:pPr>
              <w:widowControl w:val="0"/>
              <w:spacing w:line="240" w:lineRule="auto"/>
              <w:rPr>
                <w:rFonts w:ascii="Libre Baskerville" w:cs="Libre Baskerville" w:eastAsia="Libre Baskerville" w:hAnsi="Libre Baskerville"/>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Libre Baskerville" w:cs="Libre Baskerville" w:eastAsia="Libre Baskerville" w:hAnsi="Libre Baskerville"/>
                <w:sz w:val="16"/>
                <w:szCs w:val="16"/>
              </w:rPr>
            </w:pPr>
            <w:r w:rsidDel="00000000" w:rsidR="00000000" w:rsidRPr="00000000">
              <w:rPr>
                <w:rFonts w:ascii="Libre Baskerville" w:cs="Libre Baskerville" w:eastAsia="Libre Baskerville" w:hAnsi="Libre Baskerville"/>
                <w:sz w:val="16"/>
                <w:szCs w:val="16"/>
                <w:rtl w:val="0"/>
              </w:rPr>
              <w:t xml:space="preserve">Parent Email</w:t>
            </w:r>
          </w:p>
        </w:tc>
      </w:tr>
    </w:tbl>
    <w:p w:rsidR="00000000" w:rsidDel="00000000" w:rsidP="00000000" w:rsidRDefault="00000000" w:rsidRPr="00000000" w14:paraId="00000010">
      <w:pPr>
        <w:spacing w:after="200" w:before="200" w:lineRule="auto"/>
        <w:jc w:val="both"/>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High School ABC has an established partnership with Community College X. Identify any of the courses listed below that you successfully completed outside of the high school district and high school day. All college courses approved for high school credit must be at the 100 college level or higher.</w:t>
      </w:r>
    </w:p>
    <w:p w:rsidR="00000000" w:rsidDel="00000000" w:rsidP="00000000" w:rsidRDefault="00000000" w:rsidRPr="00000000" w14:paraId="00000011">
      <w:pPr>
        <w:spacing w:after="200" w:lineRule="auto"/>
        <w:ind w:left="0" w:firstLine="0"/>
        <w:jc w:val="both"/>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 Successful course completion is a C or higher.</w:t>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3255"/>
        <w:gridCol w:w="1170"/>
        <w:gridCol w:w="1170"/>
        <w:gridCol w:w="3195"/>
        <w:tblGridChange w:id="0">
          <w:tblGrid>
            <w:gridCol w:w="645"/>
            <w:gridCol w:w="3255"/>
            <w:gridCol w:w="1170"/>
            <w:gridCol w:w="1170"/>
            <w:gridCol w:w="3195"/>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Libre Baskerville" w:cs="Libre Baskerville" w:eastAsia="Libre Baskerville" w:hAnsi="Libre Baskerville"/>
                <w:b w:val="1"/>
                <w:sz w:val="18"/>
                <w:szCs w:val="18"/>
              </w:rPr>
            </w:pPr>
            <w:r w:rsidDel="00000000" w:rsidR="00000000" w:rsidRPr="00000000">
              <w:rPr>
                <w:rtl w:val="0"/>
              </w:rPr>
            </w:r>
          </w:p>
          <w:p w:rsidR="00000000" w:rsidDel="00000000" w:rsidP="00000000" w:rsidRDefault="00000000" w:rsidRPr="00000000" w14:paraId="00000013">
            <w:pPr>
              <w:widowControl w:val="0"/>
              <w:spacing w:line="240" w:lineRule="auto"/>
              <w:rPr>
                <w:rFonts w:ascii="Libre Baskerville" w:cs="Libre Baskerville" w:eastAsia="Libre Baskerville" w:hAnsi="Libre Baskerville"/>
                <w:b w:val="1"/>
                <w:sz w:val="18"/>
                <w:szCs w:val="18"/>
              </w:rPr>
            </w:pPr>
            <w:r w:rsidDel="00000000" w:rsidR="00000000" w:rsidRPr="00000000">
              <w:rPr>
                <w:rFonts w:ascii="Libre Baskerville" w:cs="Libre Baskerville" w:eastAsia="Libre Baskerville" w:hAnsi="Libre Baskerville"/>
                <w:b w:val="1"/>
                <w:sz w:val="18"/>
                <w:szCs w:val="18"/>
                <w:rtl w:val="0"/>
              </w:rPr>
              <w:t xml:space="preserve">College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b w:val="1"/>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b w:val="1"/>
                <w:sz w:val="18"/>
                <w:szCs w:val="18"/>
              </w:rPr>
            </w:pPr>
            <w:r w:rsidDel="00000000" w:rsidR="00000000" w:rsidRPr="00000000">
              <w:rPr>
                <w:rFonts w:ascii="Libre Baskerville" w:cs="Libre Baskerville" w:eastAsia="Libre Baskerville" w:hAnsi="Libre Baskerville"/>
                <w:b w:val="1"/>
                <w:sz w:val="18"/>
                <w:szCs w:val="18"/>
                <w:rtl w:val="0"/>
              </w:rPr>
              <w:t xml:space="preserve">College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b w:val="1"/>
                <w:sz w:val="18"/>
                <w:szCs w:val="18"/>
              </w:rPr>
            </w:pPr>
            <w:r w:rsidDel="00000000" w:rsidR="00000000" w:rsidRPr="00000000">
              <w:rPr>
                <w:rFonts w:ascii="Libre Baskerville" w:cs="Libre Baskerville" w:eastAsia="Libre Baskerville" w:hAnsi="Libre Baskerville"/>
                <w:b w:val="1"/>
                <w:sz w:val="18"/>
                <w:szCs w:val="18"/>
                <w:rtl w:val="0"/>
              </w:rPr>
              <w:t xml:space="preserve">Credits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b w:val="1"/>
                <w:sz w:val="18"/>
                <w:szCs w:val="18"/>
              </w:rPr>
            </w:pPr>
            <w:r w:rsidDel="00000000" w:rsidR="00000000" w:rsidRPr="00000000">
              <w:rPr>
                <w:rFonts w:ascii="Libre Baskerville" w:cs="Libre Baskerville" w:eastAsia="Libre Baskerville" w:hAnsi="Libre Baskerville"/>
                <w:b w:val="1"/>
                <w:sz w:val="18"/>
                <w:szCs w:val="18"/>
                <w:rtl w:val="0"/>
              </w:rPr>
              <w:t xml:space="preserve">High School</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b w:val="1"/>
                <w:sz w:val="18"/>
                <w:szCs w:val="18"/>
              </w:rPr>
            </w:pPr>
            <w:r w:rsidDel="00000000" w:rsidR="00000000" w:rsidRPr="00000000">
              <w:rPr>
                <w:rFonts w:ascii="Libre Baskerville" w:cs="Libre Baskerville" w:eastAsia="Libre Baskerville" w:hAnsi="Libre Baskerville"/>
                <w:b w:val="1"/>
                <w:sz w:val="18"/>
                <w:szCs w:val="18"/>
                <w:rtl w:val="0"/>
              </w:rPr>
              <w:t xml:space="preserve">Credits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sz w:val="18"/>
                <w:szCs w:val="18"/>
              </w:rPr>
            </w:pPr>
            <w:r w:rsidDel="00000000" w:rsidR="00000000" w:rsidRPr="00000000">
              <w:rPr>
                <w:rFonts w:ascii="Libre Baskerville" w:cs="Libre Baskerville" w:eastAsia="Libre Baskerville" w:hAnsi="Libre Baskerville"/>
                <w:b w:val="1"/>
                <w:sz w:val="18"/>
                <w:szCs w:val="18"/>
                <w:rtl w:val="0"/>
              </w:rPr>
              <w:t xml:space="preserve">HS Graduation Requirement</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15"/>
              </w:numPr>
              <w:spacing w:line="240" w:lineRule="auto"/>
              <w:ind w:left="720" w:hanging="360"/>
              <w:rPr>
                <w:rFonts w:ascii="Libre Baskerville" w:cs="Libre Baskerville" w:eastAsia="Libre Baskerville" w:hAnsi="Libre Baskerville"/>
                <w:sz w:val="18"/>
                <w:szCs w:val="18"/>
                <w:u w:val="none"/>
              </w:rPr>
            </w:pPr>
            <w:r w:rsidDel="00000000" w:rsidR="00000000" w:rsidRPr="00000000">
              <w:rPr>
                <w:rFonts w:ascii="Libre Baskerville" w:cs="Libre Baskerville" w:eastAsia="Libre Baskerville" w:hAnsi="Libre Baskerville"/>
                <w:sz w:val="18"/>
                <w:szCs w:val="18"/>
                <w:rtl w:val="0"/>
              </w:rPr>
              <w:t xml:space="preserve">English Composition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Junior English</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15"/>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English Composition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Senior English</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10"/>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English Composition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Senior English</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9"/>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College Mathematics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Math Elective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14"/>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Intermediate Algebra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Algebra 1</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16"/>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College Algebra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Algebra 2</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5"/>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Precalculus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PreCalculus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13"/>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Calculus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Calculus 1</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13"/>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Calculus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Calculus 2</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1"/>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Statistics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Statistics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4"/>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Any Biology lab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Biology</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7"/>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Any Chemistry lab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Chemistry</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8"/>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Any Physics lab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Physics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1"/>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Any lab science </w:t>
            </w:r>
            <w:r w:rsidDel="00000000" w:rsidR="00000000" w:rsidRPr="00000000">
              <w:rPr>
                <w:rFonts w:ascii="Libre Baskerville" w:cs="Libre Baskerville" w:eastAsia="Libre Baskerville" w:hAnsi="Libre Baskerville"/>
                <w:i w:val="1"/>
                <w:sz w:val="18"/>
                <w:szCs w:val="18"/>
                <w:rtl w:val="0"/>
              </w:rPr>
              <w:t xml:space="preserve">in addition to courses listed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Lab Science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7"/>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U.S. History </w:t>
            </w:r>
            <w:r w:rsidDel="00000000" w:rsidR="00000000" w:rsidRPr="00000000">
              <w:rPr>
                <w:rFonts w:ascii="Libre Baskerville" w:cs="Libre Baskerville" w:eastAsia="Libre Baskerville" w:hAnsi="Libre Baskerville"/>
                <w:i w:val="1"/>
                <w:sz w:val="18"/>
                <w:szCs w:val="18"/>
                <w:rtl w:val="0"/>
              </w:rPr>
              <w:t xml:space="preserve">up to two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U.S. History</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3"/>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U.S.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U.S. Government</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12"/>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Economics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Economics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2"/>
              </w:numPr>
              <w:spacing w:line="240" w:lineRule="auto"/>
              <w:ind w:left="720" w:hanging="360"/>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Psychology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Libre Baskerville" w:cs="Libre Baskerville" w:eastAsia="Libre Baskerville" w:hAnsi="Libre Baskerville"/>
                <w:sz w:val="18"/>
                <w:szCs w:val="18"/>
              </w:rPr>
            </w:pPr>
            <w:r w:rsidDel="00000000" w:rsidR="00000000" w:rsidRPr="00000000">
              <w:rPr>
                <w:rFonts w:ascii="Libre Baskerville" w:cs="Libre Baskerville" w:eastAsia="Libre Baskerville" w:hAnsi="Libre Baskerville"/>
                <w:sz w:val="18"/>
                <w:szCs w:val="18"/>
                <w:rtl w:val="0"/>
              </w:rPr>
              <w:t xml:space="preserve">Honors Psychology</w:t>
            </w:r>
          </w:p>
        </w:tc>
      </w:tr>
    </w:tbl>
    <w:p w:rsidR="00000000" w:rsidDel="00000000" w:rsidP="00000000" w:rsidRDefault="00000000" w:rsidRPr="00000000" w14:paraId="00000076">
      <w:pPr>
        <w:spacing w:after="200" w:lineRule="auto"/>
        <w:ind w:left="0" w:firstLine="0"/>
        <w:jc w:val="both"/>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7">
      <w:pPr>
        <w:spacing w:after="0" w:lineRule="auto"/>
        <w:ind w:left="0" w:firstLine="0"/>
        <w:jc w:val="both"/>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The high school already has access to partner college student transcripts. Transcripts will be reviewed to confirm successful course completion.</w:t>
      </w:r>
    </w:p>
    <w:p w:rsidR="00000000" w:rsidDel="00000000" w:rsidP="00000000" w:rsidRDefault="00000000" w:rsidRPr="00000000" w14:paraId="00000078">
      <w:pPr>
        <w:spacing w:after="200" w:lineRule="auto"/>
        <w:ind w:left="0" w:firstLine="0"/>
        <w:jc w:val="both"/>
        <w:rPr>
          <w:rFonts w:ascii="Libre Baskerville" w:cs="Libre Baskerville" w:eastAsia="Libre Baskerville" w:hAnsi="Libre Baskervil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1"/>
        <w:spacing w:after="200" w:before="0" w:lineRule="auto"/>
        <w:jc w:val="both"/>
        <w:rPr>
          <w:rFonts w:ascii="Libre Baskerville" w:cs="Libre Baskerville" w:eastAsia="Libre Baskerville" w:hAnsi="Libre Baskerville"/>
        </w:rPr>
      </w:pPr>
      <w:bookmarkStart w:colFirst="0" w:colLast="0" w:name="_97fee4gge0j0" w:id="2"/>
      <w:bookmarkEnd w:id="2"/>
      <w:r w:rsidDel="00000000" w:rsidR="00000000" w:rsidRPr="00000000">
        <w:rPr>
          <w:rtl w:val="0"/>
        </w:rPr>
        <w:t xml:space="preserve">Student Acknowledgement</w:t>
      </w:r>
      <w:r w:rsidDel="00000000" w:rsidR="00000000" w:rsidRPr="00000000">
        <w:rPr>
          <w:rtl w:val="0"/>
        </w:rPr>
      </w:r>
    </w:p>
    <w:p w:rsidR="00000000" w:rsidDel="00000000" w:rsidP="00000000" w:rsidRDefault="00000000" w:rsidRPr="00000000" w14:paraId="0000007A">
      <w:pPr>
        <w:numPr>
          <w:ilvl w:val="0"/>
          <w:numId w:val="6"/>
        </w:numPr>
        <w:ind w:left="720" w:hanging="360"/>
        <w:rPr>
          <w:rFonts w:ascii="Libre Baskerville" w:cs="Libre Baskerville" w:eastAsia="Libre Baskerville" w:hAnsi="Libre Baskerville"/>
          <w:u w:val="none"/>
        </w:rPr>
      </w:pPr>
      <w:r w:rsidDel="00000000" w:rsidR="00000000" w:rsidRPr="00000000">
        <w:rPr>
          <w:rFonts w:ascii="Libre Baskerville" w:cs="Libre Baskerville" w:eastAsia="Libre Baskerville" w:hAnsi="Libre Baskerville"/>
          <w:rtl w:val="0"/>
        </w:rPr>
        <w:t xml:space="preserve">I understand that my college transcript will be reviewed to confirm that I successfully earned credit for any course listed above.</w:t>
      </w:r>
    </w:p>
    <w:p w:rsidR="00000000" w:rsidDel="00000000" w:rsidP="00000000" w:rsidRDefault="00000000" w:rsidRPr="00000000" w14:paraId="0000007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______________________</w:t>
        <w:tab/>
        <w:t xml:space="preserve">__________</w:t>
        <w:tab/>
        <w:tab/>
        <w:t xml:space="preserve">______________________</w:t>
        <w:tab/>
        <w:t xml:space="preserve">__________</w:t>
      </w:r>
    </w:p>
    <w:p w:rsidR="00000000" w:rsidDel="00000000" w:rsidP="00000000" w:rsidRDefault="00000000" w:rsidRPr="00000000" w14:paraId="0000007D">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Student Signature</w:t>
        <w:tab/>
        <w:tab/>
        <w:tab/>
        <w:tab/>
        <w:tab/>
        <w:t xml:space="preserve">Parent/Guardian Signature</w:t>
      </w:r>
    </w:p>
    <w:p w:rsidR="00000000" w:rsidDel="00000000" w:rsidP="00000000" w:rsidRDefault="00000000" w:rsidRPr="00000000" w14:paraId="0000007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F">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Circle One:</w:t>
      </w:r>
    </w:p>
    <w:p w:rsidR="00000000" w:rsidDel="00000000" w:rsidP="00000000" w:rsidRDefault="00000000" w:rsidRPr="00000000" w14:paraId="0000008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1">
      <w:pPr>
        <w:rPr/>
      </w:pPr>
      <w:r w:rsidDel="00000000" w:rsidR="00000000" w:rsidRPr="00000000">
        <w:rPr>
          <w:rFonts w:ascii="Libre Baskerville" w:cs="Libre Baskerville" w:eastAsia="Libre Baskerville" w:hAnsi="Libre Baskerville"/>
          <w:rtl w:val="0"/>
        </w:rPr>
        <w:t xml:space="preserve">Approved</w:t>
        <w:tab/>
        <w:tab/>
        <w:t xml:space="preserve">Not Approved</w:t>
        <w:tab/>
      </w:r>
      <w:r w:rsidDel="00000000" w:rsidR="00000000" w:rsidRPr="00000000">
        <w:rPr>
          <w:rtl w:val="0"/>
        </w:rPr>
        <w:tab/>
        <w:t xml:space="preserve">______________________</w:t>
        <w:tab/>
        <w:t xml:space="preserve">__________</w:t>
      </w:r>
    </w:p>
    <w:p w:rsidR="00000000" w:rsidDel="00000000" w:rsidP="00000000" w:rsidRDefault="00000000" w:rsidRPr="00000000" w14:paraId="00000082">
      <w:pPr>
        <w:rPr>
          <w:rFonts w:ascii="Libre Baskerville" w:cs="Libre Baskerville" w:eastAsia="Libre Baskerville" w:hAnsi="Libre Baskerville"/>
          <w:sz w:val="20"/>
          <w:szCs w:val="20"/>
        </w:rPr>
      </w:pPr>
      <w:r w:rsidDel="00000000" w:rsidR="00000000" w:rsidRPr="00000000">
        <w:rPr>
          <w:rtl w:val="0"/>
        </w:rPr>
        <w:tab/>
        <w:tab/>
        <w:tab/>
        <w:tab/>
        <w:tab/>
        <w:tab/>
        <w:tab/>
      </w:r>
      <w:r w:rsidDel="00000000" w:rsidR="00000000" w:rsidRPr="00000000">
        <w:rPr>
          <w:rFonts w:ascii="Libre Baskerville" w:cs="Libre Baskerville" w:eastAsia="Libre Baskerville" w:hAnsi="Libre Baskerville"/>
          <w:sz w:val="20"/>
          <w:szCs w:val="20"/>
          <w:rtl w:val="0"/>
        </w:rPr>
        <w:t xml:space="preserve">High School Registrar Signature</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ague Spartan">
    <w:embedRegular w:fontKey="{00000000-0000-0000-0000-000000000000}" r:id="rId1" w:subsetted="0"/>
    <w:embedBold w:fontKey="{00000000-0000-0000-0000-000000000000}" r:id="rId2" w:subsetted="0"/>
  </w:font>
  <w:font w:name="Libre Baskerville">
    <w:embedRegular w:fontKey="{00000000-0000-0000-0000-000000000000}" r:id="rId3" w:subsetted="0"/>
    <w:embedBold w:fontKey="{00000000-0000-0000-0000-000000000000}" r:id="rId4" w:subsetted="0"/>
    <w:embe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both"/>
      <w:rPr>
        <w:rFonts w:ascii="Libre Baskerville" w:cs="Libre Baskerville" w:eastAsia="Libre Baskerville" w:hAnsi="Libre Baskerville"/>
        <w:color w:val="666666"/>
        <w:sz w:val="18"/>
        <w:szCs w:val="18"/>
      </w:rPr>
    </w:pPr>
    <w:hyperlink r:id="rId1">
      <w:r w:rsidDel="00000000" w:rsidR="00000000" w:rsidRPr="00000000">
        <w:rPr>
          <w:rFonts w:ascii="Libre Baskerville" w:cs="Libre Baskerville" w:eastAsia="Libre Baskerville" w:hAnsi="Libre Baskerville"/>
          <w:color w:val="666666"/>
          <w:sz w:val="18"/>
          <w:szCs w:val="18"/>
          <w:highlight w:val="white"/>
          <w:rtl w:val="0"/>
        </w:rPr>
        <w:t xml:space="preserve">Alternative Credit Prior Approval Form_Pre-Approved List </w:t>
      </w:r>
    </w:hyperlink>
    <w:r w:rsidDel="00000000" w:rsidR="00000000" w:rsidRPr="00000000">
      <w:rPr>
        <w:rFonts w:ascii="Libre Baskerville" w:cs="Libre Baskerville" w:eastAsia="Libre Baskerville" w:hAnsi="Libre Baskerville"/>
        <w:color w:val="666666"/>
        <w:sz w:val="18"/>
        <w:szCs w:val="18"/>
        <w:highlight w:val="white"/>
        <w:rtl w:val="0"/>
      </w:rPr>
      <w:t xml:space="preserve">© 2024 by Center for the Future of Arizona and Level Up Education Pathways Consulting, LLC is licensed under </w:t>
    </w:r>
    <w:hyperlink r:id="rId2">
      <w:r w:rsidDel="00000000" w:rsidR="00000000" w:rsidRPr="00000000">
        <w:rPr>
          <w:rFonts w:ascii="Libre Baskerville" w:cs="Libre Baskerville" w:eastAsia="Libre Baskerville" w:hAnsi="Libre Baskerville"/>
          <w:color w:val="666666"/>
          <w:sz w:val="18"/>
          <w:szCs w:val="18"/>
          <w:highlight w:val="white"/>
          <w:u w:val="single"/>
          <w:rtl w:val="0"/>
        </w:rPr>
        <w:t xml:space="preserve">CC BY-NC-SA 4.0</w:t>
      </w:r>
    </w:hyperlink>
    <w:r w:rsidDel="00000000" w:rsidR="00000000" w:rsidRPr="00000000">
      <w:rPr>
        <w:rFonts w:ascii="Libre Baskerville" w:cs="Libre Baskerville" w:eastAsia="Libre Baskerville" w:hAnsi="Libre Baskerville"/>
        <w:color w:val="666666"/>
        <w:sz w:val="18"/>
        <w:szCs w:val="18"/>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3390900</wp:posOffset>
          </wp:positionH>
          <wp:positionV relativeFrom="paragraph">
            <wp:posOffset>114300</wp:posOffset>
          </wp:positionV>
          <wp:extent cx="2548228" cy="6845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3"/>
                  <a:srcRect b="4368" l="0" r="0" t="8166"/>
                  <a:stretch>
                    <a:fillRect/>
                  </a:stretch>
                </pic:blipFill>
                <pic:spPr>
                  <a:xfrm>
                    <a:off x="0" y="0"/>
                    <a:ext cx="2548228" cy="68451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rPr>
      <w:drawing>
        <wp:inline distB="114300" distT="114300" distL="114300" distR="114300">
          <wp:extent cx="2583656"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83656" cy="966788"/>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jc w:val="both"/>
    </w:pPr>
    <w:rPr>
      <w:rFonts w:ascii="League Spartan" w:cs="League Spartan" w:eastAsia="League Spartan" w:hAnsi="League Spartan"/>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League Spartan" w:cs="League Spartan" w:eastAsia="League Spartan" w:hAnsi="League Spartan"/>
      <w:sz w:val="52"/>
      <w:szCs w:val="52"/>
    </w:rPr>
  </w:style>
  <w:style w:type="paragraph" w:styleId="Subtitle">
    <w:name w:val="Subtitle"/>
    <w:basedOn w:val="Normal"/>
    <w:next w:val="Normal"/>
    <w:pPr>
      <w:keepNext w:val="1"/>
      <w:keepLines w:val="1"/>
      <w:spacing w:after="320" w:lineRule="auto"/>
    </w:pPr>
    <w:rPr>
      <w:rFonts w:ascii="Libre Baskerville" w:cs="Libre Baskerville" w:eastAsia="Libre Baskerville" w:hAnsi="Libre Baskerville"/>
      <w:i w:val="1"/>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agueSpartan-regular.ttf"/><Relationship Id="rId2" Type="http://schemas.openxmlformats.org/officeDocument/2006/relationships/font" Target="fonts/LeagueSpartan-bold.ttf"/><Relationship Id="rId3" Type="http://schemas.openxmlformats.org/officeDocument/2006/relationships/font" Target="fonts/LibreBaskerville-regular.ttf"/><Relationship Id="rId4" Type="http://schemas.openxmlformats.org/officeDocument/2006/relationships/font" Target="fonts/LibreBaskerville-bold.ttf"/><Relationship Id="rId5" Type="http://schemas.openxmlformats.org/officeDocument/2006/relationships/font" Target="fonts/LibreBaskerville-italic.ttf"/></Relationships>
</file>

<file path=word/_rels/footer1.xml.rels><?xml version="1.0" encoding="UTF-8" standalone="yes"?><Relationships xmlns="http://schemas.openxmlformats.org/package/2006/relationships"><Relationship Id="rId1" Type="http://schemas.openxmlformats.org/officeDocument/2006/relationships/hyperlink" Target="https://drive.google.com/file/d/1OXcxqj0Urv9ErWkPswPP0J5J2G_pT99a/view?usp=sharing" TargetMode="External"/><Relationship Id="rId2" Type="http://schemas.openxmlformats.org/officeDocument/2006/relationships/hyperlink" Target="https://creativecommons.org/licenses/by-nc-sa/4.0/?ref=chooser-v1" TargetMode="External"/><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