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s064s24mxiy" w:id="0"/>
      <w:bookmarkEnd w:id="0"/>
      <w:r w:rsidDel="00000000" w:rsidR="00000000" w:rsidRPr="00000000">
        <w:rPr>
          <w:rtl w:val="0"/>
        </w:rPr>
        <w:t xml:space="preserve">Instructor Interest Form</w:t>
      </w:r>
    </w:p>
    <w:p w:rsidR="00000000" w:rsidDel="00000000" w:rsidP="00000000" w:rsidRDefault="00000000" w:rsidRPr="00000000" w14:paraId="00000002">
      <w:pPr>
        <w:pStyle w:val="Subtitle"/>
        <w:spacing w:after="0" w:lineRule="auto"/>
        <w:rPr/>
      </w:pPr>
      <w:bookmarkStart w:colFirst="0" w:colLast="0" w:name="_i0v9a2yzccji" w:id="1"/>
      <w:bookmarkEnd w:id="1"/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Dual Enrollment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360"/>
        <w:gridCol w:w="3360"/>
        <w:tblGridChange w:id="0">
          <w:tblGrid>
            <w:gridCol w:w="3360"/>
            <w:gridCol w:w="3360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M.I.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Zip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Phone (Home)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Phone (Work)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Phone (Cell)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Content Area/Subject/Discipline: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If applicable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Occupational/CTE Program: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 of Years Teaching Subject Area in Grades 9-12: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Highest Level of Education: </w:t>
      </w:r>
      <w:r w:rsidDel="00000000" w:rsidR="00000000" w:rsidRPr="00000000">
        <w:rPr>
          <w:i w:val="1"/>
          <w:sz w:val="20"/>
          <w:szCs w:val="20"/>
          <w:rtl w:val="0"/>
        </w:rPr>
        <w:t xml:space="preserve">Required education level varies by discipline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tbl>
      <w:tblPr>
        <w:tblStyle w:val="Table2"/>
        <w:tblW w:w="1008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45"/>
        <w:gridCol w:w="3045"/>
        <w:gridCol w:w="3990"/>
        <w:tblGridChange w:id="0">
          <w:tblGrid>
            <w:gridCol w:w="3045"/>
            <w:gridCol w:w="3045"/>
            <w:gridCol w:w="3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Associate’s Degree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Bachelor’s Degree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Master’s Degree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Doctorate’s Degree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Professional/Industry Experience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of Licenses and/or Certificates: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Languages Other Than English: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4">
      <w:pPr>
        <w:pStyle w:val="Heading1"/>
        <w:spacing w:after="0" w:lineRule="auto"/>
        <w:rPr/>
      </w:pPr>
      <w:bookmarkStart w:colFirst="0" w:colLast="0" w:name="_ewin3swgygr" w:id="2"/>
      <w:bookmarkEnd w:id="2"/>
      <w:r w:rsidDel="00000000" w:rsidR="00000000" w:rsidRPr="00000000">
        <w:rPr>
          <w:rtl w:val="0"/>
        </w:rPr>
        <w:t xml:space="preserve">Dual Enrollment Teacher Expectations</w:t>
      </w:r>
    </w:p>
    <w:p w:rsidR="00000000" w:rsidDel="00000000" w:rsidP="00000000" w:rsidRDefault="00000000" w:rsidRPr="00000000" w14:paraId="00000025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Dual enrollment instructors are valued instructors to the institution. Since instructors teach during their full-time teacher contract, dual enrollment instructors are not college employees. However, instructors are documented as contingent workers with access to some college systems.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965"/>
        <w:gridCol w:w="1860"/>
        <w:gridCol w:w="2730"/>
        <w:gridCol w:w="1740"/>
        <w:gridCol w:w="1680"/>
        <w:tblGridChange w:id="0">
          <w:tblGrid>
            <w:gridCol w:w="1965"/>
            <w:gridCol w:w="1860"/>
            <w:gridCol w:w="2730"/>
            <w:gridCol w:w="174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College orientation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Annual disclosures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Certify roster and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Syllabus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Annual site visit</w:t>
            </w:r>
          </w:p>
        </w:tc>
      </w:tr>
    </w:tbl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Return this completed form, resume, unofficial transcripts, and supporting documentation for licenses, certificates, or occupational (non-teaching) work experience to: </w:t>
      </w:r>
      <w:r w:rsidDel="00000000" w:rsidR="00000000" w:rsidRPr="00000000">
        <w:rPr>
          <w:i w:val="1"/>
          <w:sz w:val="20"/>
          <w:szCs w:val="20"/>
          <w:rtl w:val="0"/>
        </w:rPr>
        <w:t xml:space="preserve">Early College Office</w:t>
      </w:r>
      <w:r w:rsidDel="00000000" w:rsidR="00000000" w:rsidRPr="00000000">
        <w:rPr>
          <w:sz w:val="20"/>
          <w:szCs w:val="20"/>
          <w:rtl w:val="0"/>
        </w:rPr>
        <w:t xml:space="preserve"> Email: earlycollegeoffice@college.com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1440" w:left="1080" w:right="1080" w:header="431.9999999999999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ague Spartan Medium">
    <w:embedRegular w:fontKey="{00000000-0000-0000-0000-000000000000}" r:id="rId1" w:subsetted="0"/>
    <w:embedBold w:fontKey="{00000000-0000-0000-0000-000000000000}" r:id="rId2" w:subsetted="0"/>
  </w:font>
  <w:font w:name="League Spartan">
    <w:embedRegular w:fontKey="{00000000-0000-0000-0000-000000000000}" r:id="rId3" w:subsetted="0"/>
    <w:embedBold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3752850</wp:posOffset>
          </wp:positionH>
          <wp:positionV relativeFrom="paragraph">
            <wp:posOffset>114300</wp:posOffset>
          </wp:positionV>
          <wp:extent cx="2628335" cy="79236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335" cy="7923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spacing w:line="240" w:lineRule="auto"/>
      <w:jc w:val="both"/>
      <w:rPr>
        <w:color w:val="666666"/>
        <w:sz w:val="20"/>
        <w:szCs w:val="20"/>
      </w:rPr>
    </w:pPr>
    <w:hyperlink r:id="rId2"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Instructor Interest Form Dual Enrollment </w:t>
      </w:r>
    </w:hyperlink>
    <w:r w:rsidDel="00000000" w:rsidR="00000000" w:rsidRPr="00000000">
      <w:rPr>
        <w:color w:val="666666"/>
        <w:sz w:val="20"/>
        <w:szCs w:val="20"/>
        <w:highlight w:val="white"/>
        <w:rtl w:val="0"/>
      </w:rPr>
      <w:t xml:space="preserve">© 2024 by Center for the Future of Arizona and Level Up Education Pathways Consulting, LLC is licensed under </w:t>
    </w:r>
    <w:hyperlink r:id="rId3"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CC BY-NC-SA 4.0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rFonts w:ascii="Libre Baskerville" w:cs="Libre Baskerville" w:eastAsia="Libre Baskerville" w:hAnsi="Libre Baskerville"/>
        <w:sz w:val="20"/>
        <w:szCs w:val="20"/>
      </w:rPr>
    </w:pPr>
    <w:r w:rsidDel="00000000" w:rsidR="00000000" w:rsidRPr="00000000">
      <w:rPr>
        <w:rFonts w:ascii="Libre Baskerville" w:cs="Libre Baskerville" w:eastAsia="Libre Baskerville" w:hAnsi="Libre Baskerville"/>
      </w:rPr>
      <w:drawing>
        <wp:inline distB="114300" distT="114300" distL="114300" distR="114300">
          <wp:extent cx="2583656" cy="9667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3656" cy="9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rFonts w:ascii="Libre Baskerville" w:cs="Libre Baskerville" w:eastAsia="Libre Baskerville" w:hAnsi="Libre Baskerville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Baskerville" w:cs="Libre Baskerville" w:eastAsia="Libre Baskerville" w:hAnsi="Libre Baskerville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League Spartan" w:cs="League Spartan" w:eastAsia="League Spartan" w:hAnsi="League Spartan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League Spartan Medium" w:cs="League Spartan Medium" w:eastAsia="League Spartan Medium" w:hAnsi="League Spartan Medium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Libre Baskerville" w:cs="Libre Baskerville" w:eastAsia="Libre Baskerville" w:hAnsi="Libre Baskerville"/>
      <w:i w:val="1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Medium-regular.ttf"/><Relationship Id="rId2" Type="http://schemas.openxmlformats.org/officeDocument/2006/relationships/font" Target="fonts/LeagueSpartanMedium-bold.ttf"/><Relationship Id="rId3" Type="http://schemas.openxmlformats.org/officeDocument/2006/relationships/font" Target="fonts/LeagueSpartan-regular.ttf"/><Relationship Id="rId4" Type="http://schemas.openxmlformats.org/officeDocument/2006/relationships/font" Target="fonts/LeagueSpartan-bold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rive.google.com/file/d/1Vh2mhl34dpIKuodDTIzRte7tcmEf2N4t/view?usp=sharing" TargetMode="External"/><Relationship Id="rId3" Type="http://schemas.openxmlformats.org/officeDocument/2006/relationships/hyperlink" Target="https://creativecommons.org/licenses/by-nc-sa/4.0/?ref=chooser-v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