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before="200" w:lineRule="auto"/>
        <w:rPr>
          <w:rFonts w:ascii="League Spartan" w:cs="League Spartan" w:eastAsia="League Spartan" w:hAnsi="League Spartan"/>
          <w:sz w:val="48"/>
          <w:szCs w:val="48"/>
        </w:rPr>
      </w:pPr>
      <w:bookmarkStart w:colFirst="0" w:colLast="0" w:name="_q7jltdye2hiu" w:id="0"/>
      <w:bookmarkEnd w:id="0"/>
      <w:r w:rsidDel="00000000" w:rsidR="00000000" w:rsidRPr="00000000">
        <w:rPr>
          <w:rFonts w:ascii="League Spartan" w:cs="League Spartan" w:eastAsia="League Spartan" w:hAnsi="League Spartan"/>
          <w:sz w:val="48"/>
          <w:szCs w:val="48"/>
          <w:rtl w:val="0"/>
        </w:rPr>
        <w:t xml:space="preserve">How do we increase student access to dual enrollment credit on the high school campus?</w:t>
      </w:r>
    </w:p>
    <w:p w:rsidR="00000000" w:rsidDel="00000000" w:rsidP="00000000" w:rsidRDefault="00000000" w:rsidRPr="00000000" w14:paraId="00000002">
      <w:pPr>
        <w:spacing w:after="200" w:before="200" w:lineRule="auto"/>
        <w:ind w:left="0" w:firstLine="0"/>
        <w:rPr>
          <w:sz w:val="24"/>
          <w:szCs w:val="24"/>
        </w:rPr>
        <w:sectPr>
          <w:footerReference r:id="rId6" w:type="default"/>
          <w:pgSz w:h="15840" w:w="12240" w:orient="portrait"/>
          <w:pgMar w:bottom="720" w:top="720" w:left="720" w:right="720" w:header="720" w:footer="720"/>
          <w:pgNumType w:start="1"/>
        </w:sectPr>
      </w:pPr>
      <w:r w:rsidDel="00000000" w:rsidR="00000000" w:rsidRPr="00000000">
        <w:rPr>
          <w:sz w:val="24"/>
          <w:szCs w:val="24"/>
          <w:rtl w:val="0"/>
        </w:rPr>
        <w:t xml:space="preserve">1. Increase the number of college qualified high school teachers.</w:t>
      </w:r>
    </w:p>
    <w:p w:rsidR="00000000" w:rsidDel="00000000" w:rsidP="00000000" w:rsidRDefault="00000000" w:rsidRPr="00000000" w14:paraId="00000003">
      <w:pPr>
        <w:pStyle w:val="Heading1"/>
        <w:spacing w:after="200" w:before="200" w:lineRule="auto"/>
        <w:rPr/>
      </w:pPr>
      <w:bookmarkStart w:colFirst="0" w:colLast="0" w:name="_9asdujih67sq" w:id="1"/>
      <w:bookmarkEnd w:id="1"/>
      <w:r w:rsidDel="00000000" w:rsidR="00000000" w:rsidRPr="00000000">
        <w:rPr>
          <w:rtl w:val="0"/>
        </w:rPr>
        <w:t xml:space="preserve">Occupational Courses</w:t>
      </w:r>
    </w:p>
    <w:p w:rsidR="00000000" w:rsidDel="00000000" w:rsidP="00000000" w:rsidRDefault="00000000" w:rsidRPr="00000000" w14:paraId="00000004">
      <w:pPr>
        <w:spacing w:before="0" w:lineRule="auto"/>
        <w:rPr>
          <w:sz w:val="18"/>
          <w:szCs w:val="18"/>
        </w:rPr>
      </w:pPr>
      <w:r w:rsidDel="00000000" w:rsidR="00000000" w:rsidRPr="00000000">
        <w:rPr>
          <w:sz w:val="18"/>
          <w:szCs w:val="18"/>
          <w:rtl w:val="0"/>
        </w:rPr>
        <w:t xml:space="preserve">Occupational courses are usually part of career and technical education high school programs. If you meet any one of the qualification options below, you may be eligible to offer occupational courses for dual enrollment credit.</w:t>
      </w:r>
    </w:p>
    <w:p w:rsidR="00000000" w:rsidDel="00000000" w:rsidP="00000000" w:rsidRDefault="00000000" w:rsidRPr="00000000" w14:paraId="00000005">
      <w:pPr>
        <w:numPr>
          <w:ilvl w:val="0"/>
          <w:numId w:val="1"/>
        </w:numPr>
        <w:spacing w:after="200" w:before="200" w:lineRule="auto"/>
        <w:ind w:left="720" w:hanging="360"/>
        <w:jc w:val="left"/>
        <w:rPr>
          <w:sz w:val="18"/>
          <w:szCs w:val="18"/>
        </w:rPr>
      </w:pPr>
      <w:r w:rsidDel="00000000" w:rsidR="00000000" w:rsidRPr="00000000">
        <w:rPr>
          <w:sz w:val="18"/>
          <w:szCs w:val="18"/>
          <w:rtl w:val="0"/>
        </w:rPr>
        <w:t xml:space="preserve">OPTION A: Master’s degree in the teaching field</w:t>
      </w:r>
    </w:p>
    <w:p w:rsidR="00000000" w:rsidDel="00000000" w:rsidP="00000000" w:rsidRDefault="00000000" w:rsidRPr="00000000" w14:paraId="00000006">
      <w:pPr>
        <w:numPr>
          <w:ilvl w:val="0"/>
          <w:numId w:val="1"/>
        </w:numPr>
        <w:spacing w:after="200" w:lineRule="auto"/>
        <w:ind w:left="720" w:hanging="360"/>
        <w:jc w:val="left"/>
        <w:rPr>
          <w:sz w:val="18"/>
          <w:szCs w:val="18"/>
        </w:rPr>
      </w:pPr>
      <w:r w:rsidDel="00000000" w:rsidR="00000000" w:rsidRPr="00000000">
        <w:rPr>
          <w:sz w:val="18"/>
          <w:szCs w:val="18"/>
          <w:rtl w:val="0"/>
        </w:rPr>
        <w:t xml:space="preserve">OPTION B: Master’s degree in any field with 18 graduate semester hours in the teaching field.</w:t>
      </w:r>
    </w:p>
    <w:p w:rsidR="00000000" w:rsidDel="00000000" w:rsidP="00000000" w:rsidRDefault="00000000" w:rsidRPr="00000000" w14:paraId="00000007">
      <w:pPr>
        <w:numPr>
          <w:ilvl w:val="0"/>
          <w:numId w:val="1"/>
        </w:numPr>
        <w:spacing w:after="200" w:before="200" w:lineRule="auto"/>
        <w:ind w:left="720" w:hanging="360"/>
        <w:jc w:val="left"/>
        <w:rPr>
          <w:sz w:val="18"/>
          <w:szCs w:val="18"/>
        </w:rPr>
      </w:pPr>
      <w:r w:rsidDel="00000000" w:rsidR="00000000" w:rsidRPr="00000000">
        <w:rPr>
          <w:sz w:val="18"/>
          <w:szCs w:val="18"/>
          <w:rtl w:val="0"/>
        </w:rPr>
        <w:t xml:space="preserve">OPTION C Provisional: Master’s degree in any field and 3 years teaching experience grades 9-12</w:t>
      </w:r>
    </w:p>
    <w:p w:rsidR="00000000" w:rsidDel="00000000" w:rsidP="00000000" w:rsidRDefault="00000000" w:rsidRPr="00000000" w14:paraId="00000008">
      <w:pPr>
        <w:numPr>
          <w:ilvl w:val="0"/>
          <w:numId w:val="1"/>
        </w:numPr>
        <w:spacing w:after="200" w:lineRule="auto"/>
        <w:ind w:left="720" w:hanging="360"/>
        <w:jc w:val="left"/>
        <w:rPr>
          <w:sz w:val="18"/>
          <w:szCs w:val="18"/>
        </w:rPr>
      </w:pPr>
      <w:r w:rsidDel="00000000" w:rsidR="00000000" w:rsidRPr="00000000">
        <w:rPr>
          <w:sz w:val="18"/>
          <w:szCs w:val="18"/>
          <w:rtl w:val="0"/>
        </w:rPr>
        <w:t xml:space="preserve"> OPTION D Provisional: Bachelor’s degree in the field and teaching experience grades 9-12</w:t>
      </w:r>
    </w:p>
    <w:p w:rsidR="00000000" w:rsidDel="00000000" w:rsidP="00000000" w:rsidRDefault="00000000" w:rsidRPr="00000000" w14:paraId="00000009">
      <w:pPr>
        <w:numPr>
          <w:ilvl w:val="0"/>
          <w:numId w:val="1"/>
        </w:numPr>
        <w:spacing w:after="0" w:afterAutospacing="0" w:lineRule="auto"/>
        <w:ind w:left="720" w:hanging="360"/>
        <w:jc w:val="left"/>
        <w:rPr>
          <w:sz w:val="18"/>
          <w:szCs w:val="18"/>
        </w:rPr>
      </w:pPr>
      <w:r w:rsidDel="00000000" w:rsidR="00000000" w:rsidRPr="00000000">
        <w:rPr>
          <w:sz w:val="18"/>
          <w:szCs w:val="18"/>
          <w:rtl w:val="0"/>
        </w:rPr>
        <w:t xml:space="preserve">OPTION E Provisional:</w:t>
      </w:r>
    </w:p>
    <w:p w:rsidR="00000000" w:rsidDel="00000000" w:rsidP="00000000" w:rsidRDefault="00000000" w:rsidRPr="00000000" w14:paraId="0000000A">
      <w:pPr>
        <w:numPr>
          <w:ilvl w:val="1"/>
          <w:numId w:val="1"/>
        </w:numPr>
        <w:spacing w:after="0" w:afterAutospacing="0" w:lineRule="auto"/>
        <w:ind w:left="1440" w:hanging="360"/>
        <w:jc w:val="left"/>
        <w:rPr>
          <w:sz w:val="18"/>
          <w:szCs w:val="18"/>
        </w:rPr>
      </w:pPr>
      <w:r w:rsidDel="00000000" w:rsidR="00000000" w:rsidRPr="00000000">
        <w:rPr>
          <w:sz w:val="18"/>
          <w:szCs w:val="18"/>
          <w:rtl w:val="0"/>
        </w:rPr>
        <w:t xml:space="preserve">Successful completion of secondary education teacher preparation program from an accredited college or university, AND</w:t>
      </w:r>
    </w:p>
    <w:p w:rsidR="00000000" w:rsidDel="00000000" w:rsidP="00000000" w:rsidRDefault="00000000" w:rsidRPr="00000000" w14:paraId="0000000B">
      <w:pPr>
        <w:numPr>
          <w:ilvl w:val="1"/>
          <w:numId w:val="1"/>
        </w:numPr>
        <w:spacing w:after="0" w:afterAutospacing="0" w:lineRule="auto"/>
        <w:ind w:left="1440" w:hanging="360"/>
        <w:jc w:val="left"/>
        <w:rPr>
          <w:sz w:val="18"/>
          <w:szCs w:val="18"/>
        </w:rPr>
      </w:pPr>
      <w:r w:rsidDel="00000000" w:rsidR="00000000" w:rsidRPr="00000000">
        <w:rPr>
          <w:sz w:val="18"/>
          <w:szCs w:val="18"/>
          <w:rtl w:val="0"/>
        </w:rPr>
        <w:t xml:space="preserve">passing score on the AEPA/NES subject knowledge exam or similar out-of-state exam, AND</w:t>
      </w:r>
    </w:p>
    <w:p w:rsidR="00000000" w:rsidDel="00000000" w:rsidP="00000000" w:rsidRDefault="00000000" w:rsidRPr="00000000" w14:paraId="0000000C">
      <w:pPr>
        <w:numPr>
          <w:ilvl w:val="1"/>
          <w:numId w:val="1"/>
        </w:numPr>
        <w:ind w:left="1440" w:hanging="360"/>
        <w:jc w:val="left"/>
        <w:rPr>
          <w:sz w:val="18"/>
          <w:szCs w:val="18"/>
        </w:rPr>
      </w:pPr>
      <w:r w:rsidDel="00000000" w:rsidR="00000000" w:rsidRPr="00000000">
        <w:rPr>
          <w:sz w:val="18"/>
          <w:szCs w:val="18"/>
          <w:rtl w:val="0"/>
        </w:rPr>
        <w:t xml:space="preserve">3 years teaching experience grades 9-12 </w:t>
      </w:r>
    </w:p>
    <w:p w:rsidR="00000000" w:rsidDel="00000000" w:rsidP="00000000" w:rsidRDefault="00000000" w:rsidRPr="00000000" w14:paraId="0000000D">
      <w:pPr>
        <w:numPr>
          <w:ilvl w:val="0"/>
          <w:numId w:val="1"/>
        </w:numPr>
        <w:spacing w:before="200" w:lineRule="auto"/>
        <w:ind w:left="720" w:hanging="360"/>
        <w:jc w:val="left"/>
        <w:rPr>
          <w:sz w:val="18"/>
          <w:szCs w:val="18"/>
        </w:rPr>
      </w:pPr>
      <w:r w:rsidDel="00000000" w:rsidR="00000000" w:rsidRPr="00000000">
        <w:rPr>
          <w:sz w:val="18"/>
          <w:szCs w:val="18"/>
          <w:rtl w:val="0"/>
        </w:rPr>
        <w:t xml:space="preserve">OPTION F: 5 years of occupational experience in the field to be taught, OR</w:t>
      </w:r>
    </w:p>
    <w:p w:rsidR="00000000" w:rsidDel="00000000" w:rsidP="00000000" w:rsidRDefault="00000000" w:rsidRPr="00000000" w14:paraId="0000000E">
      <w:pPr>
        <w:numPr>
          <w:ilvl w:val="0"/>
          <w:numId w:val="1"/>
        </w:numPr>
        <w:spacing w:before="200" w:lineRule="auto"/>
        <w:ind w:left="720" w:hanging="360"/>
        <w:jc w:val="left"/>
        <w:rPr>
          <w:sz w:val="18"/>
          <w:szCs w:val="18"/>
        </w:rPr>
      </w:pPr>
      <w:r w:rsidDel="00000000" w:rsidR="00000000" w:rsidRPr="00000000">
        <w:rPr>
          <w:sz w:val="18"/>
          <w:szCs w:val="18"/>
          <w:rtl w:val="0"/>
        </w:rPr>
        <w:t xml:space="preserve">OPTION G: 3 years of occupational experience in the field to be taught and a Bachelor’s degree, OR</w:t>
      </w:r>
    </w:p>
    <w:p w:rsidR="00000000" w:rsidDel="00000000" w:rsidP="00000000" w:rsidRDefault="00000000" w:rsidRPr="00000000" w14:paraId="0000000F">
      <w:pPr>
        <w:numPr>
          <w:ilvl w:val="0"/>
          <w:numId w:val="1"/>
        </w:numPr>
        <w:spacing w:before="200" w:lineRule="auto"/>
        <w:ind w:left="720" w:hanging="360"/>
        <w:jc w:val="left"/>
        <w:rPr>
          <w:sz w:val="18"/>
          <w:szCs w:val="18"/>
        </w:rPr>
      </w:pPr>
      <w:r w:rsidDel="00000000" w:rsidR="00000000" w:rsidRPr="00000000">
        <w:rPr>
          <w:sz w:val="18"/>
          <w:szCs w:val="18"/>
          <w:rtl w:val="0"/>
        </w:rPr>
        <w:t xml:space="preserve">OPTION H: Journeyman certification in the field to be taught, OR</w:t>
      </w:r>
    </w:p>
    <w:p w:rsidR="00000000" w:rsidDel="00000000" w:rsidP="00000000" w:rsidRDefault="00000000" w:rsidRPr="00000000" w14:paraId="00000010">
      <w:pPr>
        <w:numPr>
          <w:ilvl w:val="0"/>
          <w:numId w:val="1"/>
        </w:numPr>
        <w:spacing w:before="200" w:lineRule="auto"/>
        <w:ind w:left="720" w:hanging="360"/>
        <w:jc w:val="left"/>
        <w:rPr>
          <w:sz w:val="18"/>
          <w:szCs w:val="18"/>
        </w:rPr>
      </w:pPr>
      <w:r w:rsidDel="00000000" w:rsidR="00000000" w:rsidRPr="00000000">
        <w:rPr>
          <w:sz w:val="18"/>
          <w:szCs w:val="18"/>
          <w:rtl w:val="0"/>
        </w:rPr>
        <w:t xml:space="preserve">OPTION I: Master’s degree in any field with a combination of 24 upper division and/or graduate credits in the field to be taught</w:t>
      </w:r>
    </w:p>
    <w:p w:rsidR="00000000" w:rsidDel="00000000" w:rsidP="00000000" w:rsidRDefault="00000000" w:rsidRPr="00000000" w14:paraId="00000011">
      <w:pPr>
        <w:pStyle w:val="Heading1"/>
        <w:spacing w:before="300" w:lineRule="auto"/>
        <w:jc w:val="left"/>
        <w:rPr/>
      </w:pPr>
      <w:bookmarkStart w:colFirst="0" w:colLast="0" w:name="_pw13hrf0fsnn" w:id="2"/>
      <w:bookmarkEnd w:id="2"/>
      <w:r w:rsidDel="00000000" w:rsidR="00000000" w:rsidRPr="00000000">
        <w:rPr>
          <w:rtl w:val="0"/>
        </w:rPr>
        <w:t xml:space="preserve">Academic Courses</w:t>
      </w:r>
    </w:p>
    <w:p w:rsidR="00000000" w:rsidDel="00000000" w:rsidP="00000000" w:rsidRDefault="00000000" w:rsidRPr="00000000" w14:paraId="00000012">
      <w:pPr>
        <w:spacing w:before="0" w:lineRule="auto"/>
        <w:rPr>
          <w:sz w:val="18"/>
          <w:szCs w:val="18"/>
        </w:rPr>
      </w:pPr>
      <w:r w:rsidDel="00000000" w:rsidR="00000000" w:rsidRPr="00000000">
        <w:rPr>
          <w:sz w:val="18"/>
          <w:szCs w:val="18"/>
          <w:rtl w:val="0"/>
        </w:rPr>
        <w:t xml:space="preserve">Academic courses apply to college degrees and usually satisfy general education requirements. If you meet any one of the qualification options below, you may be eligible to offer academic courses for dual enrollment credit.</w:t>
      </w:r>
    </w:p>
    <w:p w:rsidR="00000000" w:rsidDel="00000000" w:rsidP="00000000" w:rsidRDefault="00000000" w:rsidRPr="00000000" w14:paraId="00000013">
      <w:pPr>
        <w:numPr>
          <w:ilvl w:val="0"/>
          <w:numId w:val="1"/>
        </w:numPr>
        <w:spacing w:after="200" w:before="200" w:lineRule="auto"/>
        <w:ind w:left="720" w:hanging="360"/>
        <w:jc w:val="left"/>
        <w:rPr>
          <w:sz w:val="18"/>
          <w:szCs w:val="18"/>
        </w:rPr>
      </w:pPr>
      <w:r w:rsidDel="00000000" w:rsidR="00000000" w:rsidRPr="00000000">
        <w:rPr>
          <w:sz w:val="18"/>
          <w:szCs w:val="18"/>
          <w:rtl w:val="0"/>
        </w:rPr>
        <w:t xml:space="preserve">OPTION A: Master’s degree in the teaching field</w:t>
      </w:r>
    </w:p>
    <w:p w:rsidR="00000000" w:rsidDel="00000000" w:rsidP="00000000" w:rsidRDefault="00000000" w:rsidRPr="00000000" w14:paraId="00000014">
      <w:pPr>
        <w:numPr>
          <w:ilvl w:val="0"/>
          <w:numId w:val="1"/>
        </w:numPr>
        <w:spacing w:after="200" w:lineRule="auto"/>
        <w:ind w:left="720" w:hanging="360"/>
        <w:jc w:val="left"/>
        <w:rPr>
          <w:sz w:val="18"/>
          <w:szCs w:val="18"/>
        </w:rPr>
      </w:pPr>
      <w:r w:rsidDel="00000000" w:rsidR="00000000" w:rsidRPr="00000000">
        <w:rPr>
          <w:sz w:val="18"/>
          <w:szCs w:val="18"/>
          <w:rtl w:val="0"/>
        </w:rPr>
        <w:t xml:space="preserve">OPTION B: Master’s degree in any field with 18 graduate semester hours in the teaching field.</w:t>
      </w:r>
    </w:p>
    <w:p w:rsidR="00000000" w:rsidDel="00000000" w:rsidP="00000000" w:rsidRDefault="00000000" w:rsidRPr="00000000" w14:paraId="00000015">
      <w:pPr>
        <w:numPr>
          <w:ilvl w:val="0"/>
          <w:numId w:val="1"/>
        </w:numPr>
        <w:spacing w:after="200" w:before="200" w:lineRule="auto"/>
        <w:ind w:left="720" w:hanging="360"/>
        <w:jc w:val="left"/>
        <w:rPr>
          <w:sz w:val="18"/>
          <w:szCs w:val="18"/>
        </w:rPr>
      </w:pPr>
      <w:r w:rsidDel="00000000" w:rsidR="00000000" w:rsidRPr="00000000">
        <w:rPr>
          <w:sz w:val="18"/>
          <w:szCs w:val="18"/>
          <w:rtl w:val="0"/>
        </w:rPr>
        <w:t xml:space="preserve">OPTION C Provisional: Master’s degree in any field and 3 years teaching experience grades 9-12</w:t>
      </w:r>
    </w:p>
    <w:p w:rsidR="00000000" w:rsidDel="00000000" w:rsidP="00000000" w:rsidRDefault="00000000" w:rsidRPr="00000000" w14:paraId="00000016">
      <w:pPr>
        <w:numPr>
          <w:ilvl w:val="0"/>
          <w:numId w:val="1"/>
        </w:numPr>
        <w:spacing w:after="200" w:lineRule="auto"/>
        <w:ind w:left="720" w:hanging="360"/>
        <w:jc w:val="left"/>
        <w:rPr>
          <w:sz w:val="18"/>
          <w:szCs w:val="18"/>
        </w:rPr>
      </w:pPr>
      <w:r w:rsidDel="00000000" w:rsidR="00000000" w:rsidRPr="00000000">
        <w:rPr>
          <w:sz w:val="18"/>
          <w:szCs w:val="18"/>
          <w:rtl w:val="0"/>
        </w:rPr>
        <w:t xml:space="preserve"> OPTION D Provisional: Bachelor’s degree in the field and teaching experience grades 9-12</w:t>
      </w:r>
    </w:p>
    <w:p w:rsidR="00000000" w:rsidDel="00000000" w:rsidP="00000000" w:rsidRDefault="00000000" w:rsidRPr="00000000" w14:paraId="00000017">
      <w:pPr>
        <w:numPr>
          <w:ilvl w:val="0"/>
          <w:numId w:val="1"/>
        </w:numPr>
        <w:spacing w:after="0" w:afterAutospacing="0" w:lineRule="auto"/>
        <w:ind w:left="720" w:hanging="360"/>
        <w:jc w:val="left"/>
        <w:rPr>
          <w:sz w:val="18"/>
          <w:szCs w:val="18"/>
        </w:rPr>
      </w:pPr>
      <w:r w:rsidDel="00000000" w:rsidR="00000000" w:rsidRPr="00000000">
        <w:rPr>
          <w:sz w:val="18"/>
          <w:szCs w:val="18"/>
          <w:rtl w:val="0"/>
        </w:rPr>
        <w:t xml:space="preserve">OPTION E Provisional:</w:t>
      </w:r>
    </w:p>
    <w:p w:rsidR="00000000" w:rsidDel="00000000" w:rsidP="00000000" w:rsidRDefault="00000000" w:rsidRPr="00000000" w14:paraId="00000018">
      <w:pPr>
        <w:numPr>
          <w:ilvl w:val="1"/>
          <w:numId w:val="1"/>
        </w:numPr>
        <w:spacing w:after="0" w:afterAutospacing="0" w:lineRule="auto"/>
        <w:ind w:left="1440" w:hanging="360"/>
        <w:jc w:val="left"/>
        <w:rPr>
          <w:sz w:val="18"/>
          <w:szCs w:val="18"/>
        </w:rPr>
      </w:pPr>
      <w:r w:rsidDel="00000000" w:rsidR="00000000" w:rsidRPr="00000000">
        <w:rPr>
          <w:sz w:val="18"/>
          <w:szCs w:val="18"/>
          <w:rtl w:val="0"/>
        </w:rPr>
        <w:t xml:space="preserve">Successful completion of secondary education teacher preparation program from an accredited college or university, AND</w:t>
      </w:r>
    </w:p>
    <w:p w:rsidR="00000000" w:rsidDel="00000000" w:rsidP="00000000" w:rsidRDefault="00000000" w:rsidRPr="00000000" w14:paraId="00000019">
      <w:pPr>
        <w:numPr>
          <w:ilvl w:val="1"/>
          <w:numId w:val="1"/>
        </w:numPr>
        <w:spacing w:after="0" w:afterAutospacing="0" w:lineRule="auto"/>
        <w:ind w:left="1440" w:hanging="360"/>
        <w:jc w:val="left"/>
        <w:rPr>
          <w:sz w:val="18"/>
          <w:szCs w:val="18"/>
        </w:rPr>
      </w:pPr>
      <w:r w:rsidDel="00000000" w:rsidR="00000000" w:rsidRPr="00000000">
        <w:rPr>
          <w:sz w:val="18"/>
          <w:szCs w:val="18"/>
          <w:rtl w:val="0"/>
        </w:rPr>
        <w:t xml:space="preserve">passing score on the AEPA/NES subject knowledge exam or similar out-of-state exam, AND</w:t>
      </w:r>
    </w:p>
    <w:p w:rsidR="00000000" w:rsidDel="00000000" w:rsidP="00000000" w:rsidRDefault="00000000" w:rsidRPr="00000000" w14:paraId="0000001A">
      <w:pPr>
        <w:numPr>
          <w:ilvl w:val="1"/>
          <w:numId w:val="1"/>
        </w:numPr>
        <w:ind w:left="1440" w:hanging="360"/>
        <w:jc w:val="left"/>
        <w:rPr>
          <w:sz w:val="18"/>
          <w:szCs w:val="18"/>
        </w:rPr>
      </w:pPr>
      <w:r w:rsidDel="00000000" w:rsidR="00000000" w:rsidRPr="00000000">
        <w:rPr>
          <w:sz w:val="18"/>
          <w:szCs w:val="18"/>
          <w:rtl w:val="0"/>
        </w:rPr>
        <w:t xml:space="preserve">3 years teaching experience grades 9-12</w:t>
      </w:r>
    </w:p>
    <w:p w:rsidR="00000000" w:rsidDel="00000000" w:rsidP="00000000" w:rsidRDefault="00000000" w:rsidRPr="00000000" w14:paraId="0000001B">
      <w:pPr>
        <w:jc w:val="left"/>
        <w:rPr>
          <w:sz w:val="18"/>
          <w:szCs w:val="18"/>
        </w:rPr>
        <w:sectPr>
          <w:type w:val="continuous"/>
          <w:pgSz w:h="15840" w:w="12240" w:orient="portrait"/>
          <w:pgMar w:bottom="720" w:top="720" w:left="720" w:right="720" w:header="720" w:footer="720"/>
          <w:cols w:equalWidth="0" w:num="2" w:sep="1">
            <w:col w:space="720" w:w="5040"/>
            <w:col w:space="0" w:w="5040"/>
          </w:cols>
        </w:sectPr>
      </w:pPr>
      <w:r w:rsidDel="00000000" w:rsidR="00000000" w:rsidRPr="00000000">
        <w:rPr>
          <w:b w:val="1"/>
          <w:rtl w:val="0"/>
        </w:rPr>
        <w:t xml:space="preserve">Qualified to teach?</w:t>
      </w:r>
      <w:r w:rsidDel="00000000" w:rsidR="00000000" w:rsidRPr="00000000">
        <w:rPr>
          <w:rtl w:val="0"/>
        </w:rPr>
        <w:t xml:space="preserve"> Submit this </w:t>
      </w:r>
      <w:hyperlink r:id="rId7">
        <w:r w:rsidDel="00000000" w:rsidR="00000000" w:rsidRPr="00000000">
          <w:rPr>
            <w:color w:val="1155cc"/>
            <w:u w:val="single"/>
            <w:rtl w:val="0"/>
          </w:rPr>
          <w:t xml:space="preserve">interest form</w:t>
        </w:r>
      </w:hyperlink>
      <w:r w:rsidDel="00000000" w:rsidR="00000000" w:rsidRPr="00000000">
        <w:rPr>
          <w:rtl w:val="0"/>
        </w:rPr>
        <w:t xml:space="preserve"> to your high school or college dual enrollment liaison.</w:t>
      </w:r>
      <w:r w:rsidDel="00000000" w:rsidR="00000000" w:rsidRPr="00000000">
        <w:rPr>
          <w:rtl w:val="0"/>
        </w:rPr>
      </w:r>
    </w:p>
    <w:p w:rsidR="00000000" w:rsidDel="00000000" w:rsidP="00000000" w:rsidRDefault="00000000" w:rsidRPr="00000000" w14:paraId="0000001C">
      <w:pPr>
        <w:rPr>
          <w:sz w:val="18"/>
          <w:szCs w:val="18"/>
        </w:rPr>
      </w:pPr>
      <w:r w:rsidDel="00000000" w:rsidR="00000000" w:rsidRPr="00000000">
        <w:rPr>
          <w:sz w:val="18"/>
          <w:szCs w:val="18"/>
        </w:rPr>
        <mc:AlternateContent>
          <mc:Choice Requires="wpg">
            <w:drawing>
              <wp:inline distB="114300" distT="114300" distL="114300" distR="114300">
                <wp:extent cx="6858000" cy="866906"/>
                <wp:effectExtent b="0" l="0" r="0" t="0"/>
                <wp:docPr id="2" name=""/>
                <a:graphic>
                  <a:graphicData uri="http://schemas.microsoft.com/office/word/2010/wordprocessingShape">
                    <wps:wsp>
                      <wps:cNvSpPr/>
                      <wps:cNvPr id="3" name="Shape 3"/>
                      <wps:spPr>
                        <a:xfrm>
                          <a:off x="19600" y="196050"/>
                          <a:ext cx="7600500" cy="941100"/>
                        </a:xfrm>
                        <a:prstGeom prst="rect">
                          <a:avLst/>
                        </a:prstGeom>
                        <a:solidFill>
                          <a:srgbClr val="BF462F"/>
                        </a:solidFill>
                        <a:ln cap="flat" cmpd="sng" w="9525">
                          <a:solidFill>
                            <a:srgbClr val="BF462F"/>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Libre Baskerville" w:cs="Libre Baskerville" w:eastAsia="Libre Baskerville" w:hAnsi="Libre Baskerville"/>
                                <w:b w:val="0"/>
                                <w:i w:val="0"/>
                                <w:smallCaps w:val="0"/>
                                <w:strike w:val="0"/>
                                <w:color w:val="ffffff"/>
                                <w:sz w:val="20"/>
                                <w:vertAlign w:val="baseline"/>
                              </w:rPr>
                              <w:t xml:space="preserve">Dual Enrollment students are more likely than their non-dual enrollment peers to go to college and to persist in college. In  2020, 24.4% of high school graduates in Arizona took at least one dual enrollment course with differences in the enrollments across student demographic groups. The most significant growth in dual enrollments from 2017 to 2020 were among female, low-income, and White students (Helios Education Foundation, 2023). </w:t>
                            </w: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6858000" cy="866906"/>
                <wp:effectExtent b="0" l="0" r="0" t="0"/>
                <wp:docPr id="2"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6858000" cy="866906"/>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D">
      <w:pPr>
        <w:spacing w:after="0" w:before="0" w:lineRule="auto"/>
        <w:rPr>
          <w:sz w:val="18"/>
          <w:szCs w:val="18"/>
        </w:rPr>
      </w:pPr>
      <w:r w:rsidDel="00000000" w:rsidR="00000000" w:rsidRPr="00000000">
        <w:rPr>
          <w:sz w:val="18"/>
          <w:szCs w:val="18"/>
        </w:rPr>
        <mc:AlternateContent>
          <mc:Choice Requires="wpg">
            <w:drawing>
              <wp:inline distB="114300" distT="114300" distL="114300" distR="114300">
                <wp:extent cx="6858000" cy="731985"/>
                <wp:effectExtent b="0" l="0" r="0" t="0"/>
                <wp:docPr id="1" name=""/>
                <a:graphic>
                  <a:graphicData uri="http://schemas.microsoft.com/office/word/2010/wordprocessingShape">
                    <wps:wsp>
                      <wps:cNvSpPr/>
                      <wps:cNvPr id="2" name="Shape 2"/>
                      <wps:spPr>
                        <a:xfrm>
                          <a:off x="88225" y="441125"/>
                          <a:ext cx="7479600" cy="784200"/>
                        </a:xfrm>
                        <a:prstGeom prst="rect">
                          <a:avLst/>
                        </a:prstGeom>
                        <a:solidFill>
                          <a:srgbClr val="68293D"/>
                        </a:solidFill>
                        <a:ln cap="flat" cmpd="sng" w="9525">
                          <a:solidFill>
                            <a:srgbClr val="68293D"/>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Libre Baskerville" w:cs="Libre Baskerville" w:eastAsia="Libre Baskerville" w:hAnsi="Libre Baskerville"/>
                                <w:b w:val="0"/>
                                <w:i w:val="0"/>
                                <w:smallCaps w:val="0"/>
                                <w:strike w:val="0"/>
                                <w:color w:val="ffffff"/>
                                <w:sz w:val="20"/>
                                <w:vertAlign w:val="baseline"/>
                              </w:rPr>
                              <w:t xml:space="preserve">Dual Enrollment English and Math courses satisfy high school graduation requirements and college general education degree requirements. These courses also apply broadly across degrees. Since 2017, the rate of dual enrollment course-taking in Arizona has increased, and students were most likely enrolled into English and Math courses (Helios Education Foundation, 2023).</w:t>
                            </w: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6858000" cy="731985"/>
                <wp:effectExtent b="0" l="0" r="0" t="0"/>
                <wp:docPr id="1"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858000" cy="7319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E">
      <w:pPr>
        <w:pStyle w:val="Title"/>
        <w:spacing w:before="200" w:lineRule="auto"/>
        <w:rPr>
          <w:rFonts w:ascii="League Spartan" w:cs="League Spartan" w:eastAsia="League Spartan" w:hAnsi="League Spartan"/>
        </w:rPr>
      </w:pPr>
      <w:bookmarkStart w:colFirst="0" w:colLast="0" w:name="_c0eqf58pctkp" w:id="3"/>
      <w:bookmarkEnd w:id="3"/>
      <w:r w:rsidDel="00000000" w:rsidR="00000000" w:rsidRPr="00000000">
        <w:rPr>
          <w:rFonts w:ascii="League Spartan" w:cs="League Spartan" w:eastAsia="League Spartan" w:hAnsi="League Spartan"/>
          <w:rtl w:val="0"/>
        </w:rPr>
        <w:t xml:space="preserve">How do we increase the number of English and Math dual enrollment classes?</w:t>
      </w:r>
    </w:p>
    <w:p w:rsidR="00000000" w:rsidDel="00000000" w:rsidP="00000000" w:rsidRDefault="00000000" w:rsidRPr="00000000" w14:paraId="0000001F">
      <w:pPr>
        <w:spacing w:before="200" w:lineRule="auto"/>
        <w:rPr>
          <w:sz w:val="24"/>
          <w:szCs w:val="24"/>
        </w:rPr>
      </w:pPr>
      <w:r w:rsidDel="00000000" w:rsidR="00000000" w:rsidRPr="00000000">
        <w:rPr>
          <w:sz w:val="24"/>
          <w:szCs w:val="24"/>
          <w:rtl w:val="0"/>
        </w:rPr>
        <w:t xml:space="preserve">1. Employ strategic scheduling to maximize dual enrollment classes that are taught by college-qualified high school teachers.</w:t>
      </w:r>
    </w:p>
    <w:p w:rsidR="00000000" w:rsidDel="00000000" w:rsidP="00000000" w:rsidRDefault="00000000" w:rsidRPr="00000000" w14:paraId="00000020">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133350</wp:posOffset>
            </wp:positionV>
            <wp:extent cx="852488" cy="852488"/>
            <wp:effectExtent b="0" l="0" r="0" t="0"/>
            <wp:wrapSquare wrapText="bothSides" distB="114300" distT="114300" distL="114300" distR="114300"/>
            <wp:docPr id="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852488" cy="852488"/>
                    </a:xfrm>
                    <a:prstGeom prst="rect"/>
                    <a:ln/>
                  </pic:spPr>
                </pic:pic>
              </a:graphicData>
            </a:graphic>
          </wp:anchor>
        </w:drawing>
      </w:r>
    </w:p>
    <w:p w:rsidR="00000000" w:rsidDel="00000000" w:rsidP="00000000" w:rsidRDefault="00000000" w:rsidRPr="00000000" w14:paraId="00000021">
      <w:pPr>
        <w:spacing w:after="200" w:before="200" w:lineRule="auto"/>
        <w:rPr/>
      </w:pPr>
      <w:r w:rsidDel="00000000" w:rsidR="00000000" w:rsidRPr="00000000">
        <w:rPr>
          <w:rtl w:val="0"/>
        </w:rPr>
        <w:t xml:space="preserve">Dual enrollment teachers are MVPs. Develop a school (or district) schedule to leverage the asset of their qualification status. Since dual enrollment classes usually require less contact time than the high school class, the instructor could be assigned to two classes in the same period and scheduled on different days or assigned to two campuses.</w:t>
      </w:r>
      <w:r w:rsidDel="00000000" w:rsidR="00000000" w:rsidRPr="00000000">
        <w:drawing>
          <wp:anchor allowOverlap="1" behindDoc="0" distB="114300" distT="114300" distL="114300" distR="114300" hidden="0" layoutInCell="1" locked="0" relativeHeight="0" simplePos="0">
            <wp:simplePos x="0" y="0"/>
            <wp:positionH relativeFrom="column">
              <wp:posOffset>295275</wp:posOffset>
            </wp:positionH>
            <wp:positionV relativeFrom="paragraph">
              <wp:posOffset>466725</wp:posOffset>
            </wp:positionV>
            <wp:extent cx="261938" cy="261938"/>
            <wp:effectExtent b="0" l="0" r="0" t="0"/>
            <wp:wrapNone/>
            <wp:docPr id="5"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261938" cy="261938"/>
                    </a:xfrm>
                    <a:prstGeom prst="rect"/>
                    <a:ln/>
                  </pic:spPr>
                </pic:pic>
              </a:graphicData>
            </a:graphic>
          </wp:anchor>
        </w:drawing>
      </w:r>
    </w:p>
    <w:p w:rsidR="00000000" w:rsidDel="00000000" w:rsidP="00000000" w:rsidRDefault="00000000" w:rsidRPr="00000000" w14:paraId="00000022">
      <w:pPr>
        <w:numPr>
          <w:ilvl w:val="0"/>
          <w:numId w:val="2"/>
        </w:numPr>
        <w:ind w:left="720" w:hanging="360"/>
        <w:rPr>
          <w:u w:val="none"/>
        </w:rPr>
      </w:pPr>
      <w:r w:rsidDel="00000000" w:rsidR="00000000" w:rsidRPr="00000000">
        <w:rPr>
          <w:rtl w:val="0"/>
        </w:rPr>
        <w:t xml:space="preserve">Schedule an instructional aide to offer supplemental instruction outside of the college course.</w:t>
      </w:r>
    </w:p>
    <w:p w:rsidR="00000000" w:rsidDel="00000000" w:rsidP="00000000" w:rsidRDefault="00000000" w:rsidRPr="00000000" w14:paraId="00000023">
      <w:pPr>
        <w:numPr>
          <w:ilvl w:val="0"/>
          <w:numId w:val="2"/>
        </w:numPr>
        <w:ind w:left="720" w:hanging="360"/>
        <w:rPr>
          <w:u w:val="none"/>
        </w:rPr>
      </w:pPr>
      <w:r w:rsidDel="00000000" w:rsidR="00000000" w:rsidRPr="00000000">
        <w:rPr>
          <w:rtl w:val="0"/>
        </w:rPr>
        <w:t xml:space="preserve">Schedule dual enrollment teachers with a single course prep.</w:t>
      </w:r>
    </w:p>
    <w:p w:rsidR="00000000" w:rsidDel="00000000" w:rsidP="00000000" w:rsidRDefault="00000000" w:rsidRPr="00000000" w14:paraId="00000024">
      <w:pPr>
        <w:numPr>
          <w:ilvl w:val="0"/>
          <w:numId w:val="2"/>
        </w:numPr>
        <w:ind w:left="720" w:hanging="360"/>
        <w:rPr>
          <w:u w:val="none"/>
        </w:rPr>
      </w:pPr>
      <w:r w:rsidDel="00000000" w:rsidR="00000000" w:rsidRPr="00000000">
        <w:rPr>
          <w:rtl w:val="0"/>
        </w:rPr>
        <w:t xml:space="preserve">Offer fuel reimbursement for teachers that travel to more than one campus.</w:t>
      </w:r>
    </w:p>
    <w:p w:rsidR="00000000" w:rsidDel="00000000" w:rsidP="00000000" w:rsidRDefault="00000000" w:rsidRPr="00000000" w14:paraId="00000025">
      <w:pPr>
        <w:numPr>
          <w:ilvl w:val="0"/>
          <w:numId w:val="2"/>
        </w:numPr>
        <w:ind w:left="720" w:hanging="360"/>
        <w:rPr>
          <w:u w:val="none"/>
        </w:rPr>
      </w:pPr>
      <w:r w:rsidDel="00000000" w:rsidR="00000000" w:rsidRPr="00000000">
        <w:rPr>
          <w:rtl w:val="0"/>
        </w:rPr>
        <w:t xml:space="preserve">Offer at least one Algebra-sequence Math course (e.g College Algebra, Precalculus, and/or Calculus) </w:t>
      </w:r>
      <w:r w:rsidDel="00000000" w:rsidR="00000000" w:rsidRPr="00000000">
        <w:rPr>
          <w:b w:val="1"/>
          <w:u w:val="single"/>
          <w:rtl w:val="0"/>
        </w:rPr>
        <w:t xml:space="preserve">and</w:t>
      </w:r>
      <w:r w:rsidDel="00000000" w:rsidR="00000000" w:rsidRPr="00000000">
        <w:rPr>
          <w:rtl w:val="0"/>
        </w:rPr>
        <w:t xml:space="preserve"> College Mathematics, which is most likely a Senior year math elective course.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spacing w:after="200" w:lineRule="auto"/>
        <w:rPr/>
      </w:pPr>
      <w:r w:rsidDel="00000000" w:rsidR="00000000" w:rsidRPr="00000000">
        <w:rPr>
          <w:rtl w:val="0"/>
        </w:rPr>
        <w:t xml:space="preserve">If a high school teacher offers a class for college credit that is outside of the high school day (teacher contract), the instructor may be paid by the college usually at the adjunct instructor pay rate. This is also referred to as concurrent enrollment.</w:t>
      </w:r>
    </w:p>
    <w:p w:rsidR="00000000" w:rsidDel="00000000" w:rsidP="00000000" w:rsidRDefault="00000000" w:rsidRPr="00000000" w14:paraId="00000028">
      <w:pPr>
        <w:numPr>
          <w:ilvl w:val="0"/>
          <w:numId w:val="3"/>
        </w:numPr>
        <w:ind w:left="720" w:hanging="360"/>
        <w:rPr>
          <w:u w:val="none"/>
        </w:rPr>
      </w:pPr>
      <w:r w:rsidDel="00000000" w:rsidR="00000000" w:rsidRPr="00000000">
        <w:rPr>
          <w:rtl w:val="0"/>
        </w:rPr>
        <w:t xml:space="preserve">Use 0 or 8 hour scheduling.</w:t>
      </w:r>
    </w:p>
    <w:p w:rsidR="00000000" w:rsidDel="00000000" w:rsidP="00000000" w:rsidRDefault="00000000" w:rsidRPr="00000000" w14:paraId="00000029">
      <w:pPr>
        <w:numPr>
          <w:ilvl w:val="0"/>
          <w:numId w:val="3"/>
        </w:numPr>
        <w:ind w:left="720" w:hanging="360"/>
        <w:rPr>
          <w:u w:val="none"/>
        </w:rPr>
      </w:pPr>
      <w:r w:rsidDel="00000000" w:rsidR="00000000" w:rsidRPr="00000000">
        <w:rPr>
          <w:rtl w:val="0"/>
        </w:rPr>
        <w:t xml:space="preserve">Offer a Saturday or summer class on the high school campus.</w:t>
      </w:r>
    </w:p>
    <w:p w:rsidR="00000000" w:rsidDel="00000000" w:rsidP="00000000" w:rsidRDefault="00000000" w:rsidRPr="00000000" w14:paraId="0000002A">
      <w:pPr>
        <w:spacing w:before="200" w:line="360" w:lineRule="auto"/>
        <w:rPr>
          <w:sz w:val="22"/>
          <w:szCs w:val="22"/>
        </w:rPr>
      </w:pPr>
      <w:r w:rsidDel="00000000" w:rsidR="00000000" w:rsidRPr="00000000">
        <w:rPr>
          <w:sz w:val="22"/>
          <w:szCs w:val="22"/>
        </w:rPr>
        <mc:AlternateContent>
          <mc:Choice Requires="wpg">
            <w:drawing>
              <wp:inline distB="114300" distT="114300" distL="114300" distR="114300">
                <wp:extent cx="6810375" cy="833514"/>
                <wp:effectExtent b="0" l="0" r="0" t="0"/>
                <wp:docPr id="3" name=""/>
                <a:graphic>
                  <a:graphicData uri="http://schemas.microsoft.com/office/word/2010/wordprocessingShape">
                    <wps:wsp>
                      <wps:cNvSpPr/>
                      <wps:cNvPr id="4" name="Shape 4"/>
                      <wps:spPr>
                        <a:xfrm>
                          <a:off x="147050" y="607775"/>
                          <a:ext cx="7155900" cy="990000"/>
                        </a:xfrm>
                        <a:prstGeom prst="rect">
                          <a:avLst/>
                        </a:prstGeom>
                        <a:solidFill>
                          <a:srgbClr val="F3F3F3"/>
                        </a:solidFill>
                        <a:ln cap="flat" cmpd="sng" w="9525">
                          <a:solidFill>
                            <a:srgbClr val="F3F3F3"/>
                          </a:solidFill>
                          <a:prstDash val="solid"/>
                          <a:round/>
                          <a:headEnd len="sm" w="sm" type="none"/>
                          <a:tailEnd len="sm" w="sm" type="none"/>
                        </a:ln>
                      </wps:spPr>
                      <wps:txbx>
                        <w:txbxContent>
                          <w:p w:rsidR="00000000" w:rsidDel="00000000" w:rsidP="00000000" w:rsidRDefault="00000000" w:rsidRPr="00000000">
                            <w:pPr>
                              <w:spacing w:after="0" w:before="200" w:line="360"/>
                              <w:ind w:left="0" w:right="0" w:firstLine="0"/>
                              <w:jc w:val="both"/>
                              <w:textDirection w:val="btLr"/>
                            </w:pPr>
                            <w:r w:rsidDel="00000000" w:rsidR="00000000" w:rsidRPr="00000000">
                              <w:rPr>
                                <w:rFonts w:ascii="Libre Baskerville" w:cs="Libre Baskerville" w:eastAsia="Libre Baskerville" w:hAnsi="Libre Baskerville"/>
                                <w:b w:val="0"/>
                                <w:i w:val="0"/>
                                <w:smallCaps w:val="0"/>
                                <w:strike w:val="0"/>
                                <w:color w:val="000000"/>
                                <w:sz w:val="20"/>
                                <w:vertAlign w:val="baseline"/>
                              </w:rPr>
                              <w:t xml:space="preserve">Course contact hours do not always correlate to credits. For example, a 3 credit course may be </w:t>
                            </w:r>
                            <w:r w:rsidDel="00000000" w:rsidR="00000000" w:rsidRPr="00000000">
                              <w:rPr>
                                <w:rFonts w:ascii="Libre Baskerville" w:cs="Libre Baskerville" w:eastAsia="Libre Baskerville" w:hAnsi="Libre Baskerville"/>
                                <w:b w:val="0"/>
                                <w:i w:val="0"/>
                                <w:smallCaps w:val="0"/>
                                <w:strike w:val="0"/>
                                <w:color w:val="000000"/>
                                <w:sz w:val="20"/>
                                <w:vertAlign w:val="baseline"/>
                              </w:rPr>
                              <w:t xml:space="preserve">designated</w:t>
                            </w:r>
                            <w:r w:rsidDel="00000000" w:rsidR="00000000" w:rsidRPr="00000000">
                              <w:rPr>
                                <w:rFonts w:ascii="Libre Baskerville" w:cs="Libre Baskerville" w:eastAsia="Libre Baskerville" w:hAnsi="Libre Baskerville"/>
                                <w:b w:val="0"/>
                                <w:i w:val="0"/>
                                <w:smallCaps w:val="0"/>
                                <w:strike w:val="0"/>
                                <w:color w:val="000000"/>
                                <w:sz w:val="20"/>
                                <w:vertAlign w:val="baseline"/>
                              </w:rPr>
                              <w:t xml:space="preserve"> as 4 periods (contact hours) on the </w:t>
                            </w:r>
                            <w:r w:rsidDel="00000000" w:rsidR="00000000" w:rsidRPr="00000000">
                              <w:rPr>
                                <w:rFonts w:ascii="Libre Baskerville" w:cs="Libre Baskerville" w:eastAsia="Libre Baskerville" w:hAnsi="Libre Baskerville"/>
                                <w:b w:val="0"/>
                                <w:i w:val="0"/>
                                <w:smallCaps w:val="0"/>
                                <w:strike w:val="0"/>
                                <w:color w:val="000000"/>
                                <w:sz w:val="20"/>
                                <w:vertAlign w:val="baseline"/>
                              </w:rPr>
                              <w:t xml:space="preserve">course</w:t>
                            </w:r>
                            <w:r w:rsidDel="00000000" w:rsidR="00000000" w:rsidRPr="00000000">
                              <w:rPr>
                                <w:rFonts w:ascii="Libre Baskerville" w:cs="Libre Baskerville" w:eastAsia="Libre Baskerville" w:hAnsi="Libre Baskerville"/>
                                <w:b w:val="0"/>
                                <w:i w:val="0"/>
                                <w:smallCaps w:val="0"/>
                                <w:strike w:val="0"/>
                                <w:color w:val="000000"/>
                                <w:sz w:val="20"/>
                                <w:vertAlign w:val="baseline"/>
                              </w:rPr>
                              <w:t xml:space="preserve"> curriculum guide. At the rate 15 clock hours per period, a 4 period course would require 60 contact hours or instructional time.</w:t>
                            </w: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6810375" cy="833514"/>
                <wp:effectExtent b="0" l="0" r="0" t="0"/>
                <wp:docPr id="3"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6810375" cy="83351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B">
      <w:pPr>
        <w:spacing w:before="200" w:lineRule="auto"/>
        <w:rPr>
          <w:sz w:val="24"/>
          <w:szCs w:val="24"/>
        </w:rPr>
      </w:pPr>
      <w:r w:rsidDel="00000000" w:rsidR="00000000" w:rsidRPr="00000000">
        <w:rPr>
          <w:sz w:val="24"/>
          <w:szCs w:val="24"/>
          <w:rtl w:val="0"/>
        </w:rPr>
        <w:t xml:space="preserve">2. Schedule college faculty on the high school campus.</w:t>
      </w:r>
    </w:p>
    <w:p w:rsidR="00000000" w:rsidDel="00000000" w:rsidP="00000000" w:rsidRDefault="00000000" w:rsidRPr="00000000" w14:paraId="0000002C">
      <w:pPr>
        <w:spacing w:after="200" w:before="200" w:lineRule="auto"/>
        <w:rPr/>
      </w:pPr>
      <w:r w:rsidDel="00000000" w:rsidR="00000000" w:rsidRPr="00000000">
        <w:rPr>
          <w:rtl w:val="0"/>
        </w:rPr>
        <w:t xml:space="preserve">Dual Enrollment classes that are scheduled on the high school campus and taught by college faculty are often called concurrent enrollment. Since college classes usually require less contact time than the high school class, the instructor </w:t>
      </w:r>
      <w:r w:rsidDel="00000000" w:rsidR="00000000" w:rsidRPr="00000000">
        <w:rPr>
          <w:rtl w:val="0"/>
        </w:rPr>
        <w:t xml:space="preserve">may be schedule</w:t>
      </w:r>
      <w:r w:rsidDel="00000000" w:rsidR="00000000" w:rsidRPr="00000000">
        <w:rPr>
          <w:rtl w:val="0"/>
        </w:rPr>
        <w:t xml:space="preserve">d two or three-days per week for the required contact hours. When college faculty teach on the high school campus the instructors are paid by the college unless otherwise negotiated. The LEA may continue to include the student in Average Daily Membership (ADM) if the student satisfies required hours in high school dual enrollment or standard classes.</w:t>
      </w:r>
    </w:p>
    <w:p w:rsidR="00000000" w:rsidDel="00000000" w:rsidP="00000000" w:rsidRDefault="00000000" w:rsidRPr="00000000" w14:paraId="0000002D">
      <w:pPr>
        <w:numPr>
          <w:ilvl w:val="0"/>
          <w:numId w:val="2"/>
        </w:numPr>
        <w:ind w:left="720" w:hanging="360"/>
      </w:pPr>
      <w:r w:rsidDel="00000000" w:rsidR="00000000" w:rsidRPr="00000000">
        <w:rPr>
          <w:rtl w:val="0"/>
        </w:rPr>
        <w:t xml:space="preserve">Schedule an instructional aide to offer supplemental instruction outside of the college course days and times.</w:t>
      </w:r>
      <w:r w:rsidDel="00000000" w:rsidR="00000000" w:rsidRPr="00000000">
        <w:rPr>
          <w:rtl w:val="0"/>
        </w:rPr>
      </w:r>
    </w:p>
    <w:sectPr>
      <w:type w:val="continuous"/>
      <w:pgSz w:h="15840" w:w="12240" w:orient="portrait"/>
      <w:pgMar w:bottom="720" w:top="1440" w:left="720" w:right="720" w:header="720" w:footer="720"/>
      <w:cols w:equalWidth="0" w:num="1" w:sep="1">
        <w:col w:space="0" w:w="1080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eague Spartan">
    <w:embedRegular w:fontKey="{00000000-0000-0000-0000-000000000000}" r:id="rId1" w:subsetted="0"/>
    <w:embedBold w:fontKey="{00000000-0000-0000-0000-000000000000}" r:id="rId2" w:subsetted="0"/>
  </w:font>
  <w:font w:name="Libre Baskerville">
    <w:embedRegular w:fontKey="{00000000-0000-0000-0000-000000000000}" r:id="rId3" w:subsetted="0"/>
    <w:embedBold w:fontKey="{00000000-0000-0000-0000-000000000000}" r:id="rId4" w:subsetted="0"/>
    <w:embe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spacing w:line="240" w:lineRule="auto"/>
      <w:jc w:val="lef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4362450</wp:posOffset>
          </wp:positionH>
          <wp:positionV relativeFrom="paragraph">
            <wp:posOffset>114300</wp:posOffset>
          </wp:positionV>
          <wp:extent cx="2548228" cy="684513"/>
          <wp:effectExtent b="0" l="0" r="0" t="0"/>
          <wp:wrapSquare wrapText="bothSides" distB="114300" distT="114300" distL="114300" distR="114300"/>
          <wp:docPr id="6" name="image1.png"/>
          <a:graphic>
            <a:graphicData uri="http://schemas.openxmlformats.org/drawingml/2006/picture">
              <pic:pic>
                <pic:nvPicPr>
                  <pic:cNvPr id="0" name="image1.png"/>
                  <pic:cNvPicPr preferRelativeResize="0"/>
                </pic:nvPicPr>
                <pic:blipFill>
                  <a:blip r:embed="rId1"/>
                  <a:srcRect b="4368" l="0" r="0" t="8166"/>
                  <a:stretch>
                    <a:fillRect/>
                  </a:stretch>
                </pic:blipFill>
                <pic:spPr>
                  <a:xfrm>
                    <a:off x="0" y="0"/>
                    <a:ext cx="2548228" cy="684513"/>
                  </a:xfrm>
                  <a:prstGeom prst="rect"/>
                  <a:ln/>
                </pic:spPr>
              </pic:pic>
            </a:graphicData>
          </a:graphic>
        </wp:anchor>
      </w:drawing>
    </w:r>
  </w:p>
  <w:p w:rsidR="00000000" w:rsidDel="00000000" w:rsidP="00000000" w:rsidRDefault="00000000" w:rsidRPr="00000000" w14:paraId="0000002F">
    <w:pPr>
      <w:spacing w:line="240" w:lineRule="auto"/>
      <w:jc w:val="left"/>
      <w:rPr>
        <w:color w:val="666666"/>
      </w:rPr>
    </w:pPr>
    <w:hyperlink r:id="rId2">
      <w:r w:rsidDel="00000000" w:rsidR="00000000" w:rsidRPr="00000000">
        <w:rPr>
          <w:color w:val="666666"/>
          <w:highlight w:val="white"/>
          <w:rtl w:val="0"/>
        </w:rPr>
        <w:t xml:space="preserve">Instructor and Scheduling Quick Reference </w:t>
      </w:r>
    </w:hyperlink>
    <w:r w:rsidDel="00000000" w:rsidR="00000000" w:rsidRPr="00000000">
      <w:rPr>
        <w:color w:val="666666"/>
        <w:highlight w:val="white"/>
        <w:rtl w:val="0"/>
      </w:rPr>
      <w:t xml:space="preserve">© 2024 by Center for the Future of Arizona and Level Up Education Pathways Consulting, LLC is licensed under </w:t>
    </w:r>
    <w:hyperlink r:id="rId3">
      <w:r w:rsidDel="00000000" w:rsidR="00000000" w:rsidRPr="00000000">
        <w:rPr>
          <w:color w:val="666666"/>
          <w:highlight w:val="white"/>
          <w:u w:val="single"/>
          <w:rtl w:val="0"/>
        </w:rPr>
        <w:t xml:space="preserve">CC BY-NC-SA 4.0</w:t>
      </w:r>
    </w:hyperlink>
    <w:r w:rsidDel="00000000" w:rsidR="00000000" w:rsidRPr="00000000">
      <w:rPr>
        <w:color w:val="666666"/>
        <w:rtl w:val="0"/>
      </w:rPr>
      <w:t xml:space="preserve">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re Baskerville" w:cs="Libre Baskerville" w:eastAsia="Libre Baskerville" w:hAnsi="Libre Baskerville"/>
        <w:lang w:val="en"/>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League Spartan" w:cs="League Spartan" w:eastAsia="League Spartan" w:hAnsi="League Spartan"/>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hyperlink" Target="https://docs.google.com/document/d/1crOZtp-Bc2I5fOSI0xugpSauwgkpi8taNRekZeqGIZI/edit?usp=sharing" TargetMode="External"/><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LeagueSpartan-regular.ttf"/><Relationship Id="rId2" Type="http://schemas.openxmlformats.org/officeDocument/2006/relationships/font" Target="fonts/LeagueSpartan-bold.ttf"/><Relationship Id="rId3" Type="http://schemas.openxmlformats.org/officeDocument/2006/relationships/font" Target="fonts/LibreBaskerville-regular.ttf"/><Relationship Id="rId4" Type="http://schemas.openxmlformats.org/officeDocument/2006/relationships/font" Target="fonts/LibreBaskerville-bold.ttf"/><Relationship Id="rId5" Type="http://schemas.openxmlformats.org/officeDocument/2006/relationships/font" Target="fonts/LibreBaskerville-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drive.google.com/file/d/1eQQIkuJ2AUh6Zjo4truWEVPCuJfZqgDN/view?usp=sharing" TargetMode="External"/><Relationship Id="rId3" Type="http://schemas.openxmlformats.org/officeDocument/2006/relationships/hyperlink" Target="https://creativecommons.org/licenses/by-nc-sa/4.0/?ref=chooser-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