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before="200" w:lineRule="auto"/>
        <w:rPr/>
      </w:pPr>
      <w:bookmarkStart w:colFirst="0" w:colLast="0" w:name="_gnolmn9ocxr5" w:id="0"/>
      <w:bookmarkEnd w:id="0"/>
      <w:r w:rsidDel="00000000" w:rsidR="00000000" w:rsidRPr="00000000">
        <w:rPr>
          <w:rtl w:val="0"/>
        </w:rPr>
        <w:t xml:space="preserve">Instructor Qualifications Form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fj7t572fvquj" w:id="1"/>
      <w:bookmarkEnd w:id="1"/>
      <w:r w:rsidDel="00000000" w:rsidR="00000000" w:rsidRPr="00000000">
        <w:rPr>
          <w:rtl w:val="0"/>
        </w:rPr>
        <w:t xml:space="preserve">Dual Enrollment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Instructor: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High School: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Content Area/Subject/Discipline: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____________________________________________</w:t>
      </w:r>
    </w:p>
    <w:p w:rsidR="00000000" w:rsidDel="00000000" w:rsidP="00000000" w:rsidRDefault="00000000" w:rsidRPr="00000000" w14:paraId="00000006">
      <w:pPr>
        <w:rPr>
          <w:rFonts w:ascii="League Spartan" w:cs="League Spartan" w:eastAsia="League Spartan" w:hAnsi="League Spart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eague Spartan" w:cs="League Spartan" w:eastAsia="League Spartan" w:hAnsi="League Spartan"/>
          <w:b w:val="1"/>
          <w:highlight w:val="yellow"/>
        </w:rPr>
      </w:pPr>
      <w:r w:rsidDel="00000000" w:rsidR="00000000" w:rsidRPr="00000000">
        <w:rPr>
          <w:rFonts w:ascii="League Spartan" w:cs="League Spartan" w:eastAsia="League Spartan" w:hAnsi="League Spartan"/>
          <w:b w:val="1"/>
          <w:highlight w:val="yellow"/>
          <w:rtl w:val="0"/>
        </w:rPr>
        <w:t xml:space="preserve">SELECT ONLY ONE OPTION BELOW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6jv34ujvcvs2" w:id="2"/>
      <w:bookmarkEnd w:id="2"/>
      <w:r w:rsidDel="00000000" w:rsidR="00000000" w:rsidRPr="00000000">
        <w:rPr>
          <w:rtl w:val="0"/>
        </w:rPr>
        <w:t xml:space="preserve">Minimum Requirements for Academic or Occupational Area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Academic</w:t>
      </w:r>
      <w:r w:rsidDel="00000000" w:rsidR="00000000" w:rsidRPr="00000000">
        <w:rPr>
          <w:sz w:val="20"/>
          <w:szCs w:val="20"/>
          <w:rtl w:val="0"/>
        </w:rPr>
        <w:t xml:space="preserve"> teaching fields require the following from an accredited college or university: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before="20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OPTION A: Master’s degree in the teaching field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OPTION B: Master’s degree in any field with 18 graduate semester hours in the teaching field.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20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Graduate credits are generally 500 level courses and above. Upper division credits are 300-499 level courses. Refer back to the transcript to determine what constitutes graduate or upper division credits.</w:t>
      </w:r>
    </w:p>
    <w:p w:rsidR="00000000" w:rsidDel="00000000" w:rsidP="00000000" w:rsidRDefault="00000000" w:rsidRPr="00000000" w14:paraId="0000000D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List graduate classes and conferred degree(s):</w:t>
      </w:r>
    </w:p>
    <w:tbl>
      <w:tblPr>
        <w:tblStyle w:val="Table1"/>
        <w:tblW w:w="92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72.5"/>
        <w:gridCol w:w="1372.5"/>
        <w:gridCol w:w="1372.5"/>
        <w:gridCol w:w="1372.5"/>
        <w:gridCol w:w="3795"/>
        <w:tblGridChange w:id="0">
          <w:tblGrid>
            <w:gridCol w:w="1372.5"/>
            <w:gridCol w:w="1372.5"/>
            <w:gridCol w:w="1372.5"/>
            <w:gridCol w:w="1372.5"/>
            <w:gridCol w:w="37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Degree: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Degree:</w:t>
            </w:r>
          </w:p>
        </w:tc>
      </w:tr>
    </w:tbl>
    <w:p w:rsidR="00000000" w:rsidDel="00000000" w:rsidP="00000000" w:rsidRDefault="00000000" w:rsidRPr="00000000" w14:paraId="00000018">
      <w:pPr>
        <w:spacing w:after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00" w:before="20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OPTION C Provisional: Master’s degree in any field and 3 years teaching experience grades 9-12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before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OPTION D Provisional: Bachelor’s degree in the field and teaching experience grades 9-12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OPTION E Provisional: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Successful completion of secondary education teacher preparation program from an accredited college or university, AND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passing score on the AEPA/NES subject knowledge exam or similar out-of-state exam, AND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20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4646480</wp:posOffset>
            </wp:positionH>
            <wp:positionV relativeFrom="page">
              <wp:posOffset>8915273</wp:posOffset>
            </wp:positionV>
            <wp:extent cx="2635382" cy="804989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5382" cy="8049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0"/>
          <w:szCs w:val="20"/>
          <w:rtl w:val="0"/>
        </w:rPr>
        <w:t xml:space="preserve">3 years teaching experience grades 9-12 </w:t>
      </w:r>
    </w:p>
    <w:p w:rsidR="00000000" w:rsidDel="00000000" w:rsidP="00000000" w:rsidRDefault="00000000" w:rsidRPr="00000000" w14:paraId="0000001F">
      <w:pPr>
        <w:pStyle w:val="Heading2"/>
        <w:rPr>
          <w:rFonts w:ascii="League Spartan" w:cs="League Spartan" w:eastAsia="League Spartan" w:hAnsi="League Spartan"/>
        </w:rPr>
      </w:pPr>
      <w:bookmarkStart w:colFirst="0" w:colLast="0" w:name="_59oqd6a538qk" w:id="3"/>
      <w:bookmarkEnd w:id="3"/>
      <w:r w:rsidDel="00000000" w:rsidR="00000000" w:rsidRPr="00000000">
        <w:rPr>
          <w:rtl w:val="0"/>
        </w:rPr>
        <w:t xml:space="preserve">Provisional Approval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Provisionally approved instructors must satisfy academic credential requirements within three years of the provisional approval date and show continuous progress towards academic credential completion.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OPTION C: Demonstrates 18 graduate-level credits in the field earned by: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OPTION D: Demonstrates Master’s degree in the field earned by: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OPTION E: Demonstrates Master’s degree in the field earned by: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</w:t>
      </w:r>
    </w:p>
    <w:p w:rsidR="00000000" w:rsidDel="00000000" w:rsidP="00000000" w:rsidRDefault="00000000" w:rsidRPr="00000000" w14:paraId="00000027">
      <w:pPr>
        <w:pStyle w:val="Heading1"/>
        <w:rPr/>
      </w:pPr>
      <w:bookmarkStart w:colFirst="0" w:colLast="0" w:name="_l7sdaqydmke5" w:id="4"/>
      <w:bookmarkEnd w:id="4"/>
      <w:r w:rsidDel="00000000" w:rsidR="00000000" w:rsidRPr="00000000">
        <w:rPr>
          <w:rtl w:val="0"/>
        </w:rPr>
        <w:t xml:space="preserve">Alternative Minimum requirements for Occupational Areas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Occupational</w:t>
      </w:r>
      <w:r w:rsidDel="00000000" w:rsidR="00000000" w:rsidRPr="00000000">
        <w:rPr>
          <w:sz w:val="20"/>
          <w:szCs w:val="20"/>
          <w:rtl w:val="0"/>
        </w:rPr>
        <w:t xml:space="preserve"> teaching fields require the following from an accredited college or university: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before="20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OPTION F: 5 years of occupational experience in the field to be taught, OR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before="20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OPTION G: 3 years of occupational experience in the field to be taught and a Bachelor’s degree, OR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before="20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OPTION H: Journeyman certification in the field to be taught, OR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before="20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OPTION I: Master’s degree in any field with a combination of 24 upper division and/or graduate credits in the field to be taught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List upper division or graduate classes and conferred degree(s):</w:t>
      </w:r>
    </w:p>
    <w:tbl>
      <w:tblPr>
        <w:tblStyle w:val="Table2"/>
        <w:tblW w:w="92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72.5"/>
        <w:gridCol w:w="1372.5"/>
        <w:gridCol w:w="1372.5"/>
        <w:gridCol w:w="1372.5"/>
        <w:gridCol w:w="3795"/>
        <w:tblGridChange w:id="0">
          <w:tblGrid>
            <w:gridCol w:w="1372.5"/>
            <w:gridCol w:w="1372.5"/>
            <w:gridCol w:w="1372.5"/>
            <w:gridCol w:w="1372.5"/>
            <w:gridCol w:w="37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Degree: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Degree:</w:t>
            </w:r>
          </w:p>
        </w:tc>
      </w:tr>
    </w:tbl>
    <w:p w:rsidR="00000000" w:rsidDel="00000000" w:rsidP="00000000" w:rsidRDefault="00000000" w:rsidRPr="00000000" w14:paraId="00000039">
      <w:pPr>
        <w:spacing w:before="200" w:lineRule="auto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ATTENTION: Education, training, and occupational experience will be reviewed on a case-by-case basis and will require sufficient documentation such as transcripts, an employment verification letter, industry certification, client statements, and/or tax records. The Chair/OPD signature on the Instructor Minimum Qualification form confirms that this documentation was reviewed and approved for occupational instructors meeting qualification status with alternative requirement</w:t>
      </w:r>
      <w:r w:rsidDel="00000000" w:rsidR="00000000" w:rsidRPr="00000000">
        <w:rPr>
          <w:i w:val="1"/>
          <w:sz w:val="20"/>
          <w:szCs w:val="20"/>
          <w:rtl w:val="0"/>
        </w:rPr>
        <w:t xml:space="preserve">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200" w:lineRule="auto"/>
        <w:jc w:val="both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rPr/>
      </w:pPr>
      <w:bookmarkStart w:colFirst="0" w:colLast="0" w:name="_t5y70nuf2lzm" w:id="5"/>
      <w:bookmarkEnd w:id="5"/>
      <w:r w:rsidDel="00000000" w:rsidR="00000000" w:rsidRPr="00000000">
        <w:rPr>
          <w:rtl w:val="0"/>
        </w:rPr>
        <w:t xml:space="preserve">Signatories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Approved Course Prefix or Courses: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-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</w:t>
        <w:tab/>
      </w:r>
      <w:r w:rsidDel="00000000" w:rsidR="00000000" w:rsidRPr="00000000">
        <w:rPr>
          <w:sz w:val="18"/>
          <w:szCs w:val="18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</w:t>
        <w:tab/>
        <w:tab/>
        <w:t xml:space="preserve">_______________________</w:t>
        <w:tab/>
      </w:r>
      <w:r w:rsidDel="00000000" w:rsidR="00000000" w:rsidRPr="00000000">
        <w:rPr>
          <w:sz w:val="18"/>
          <w:szCs w:val="18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</w:t>
      </w:r>
    </w:p>
    <w:p w:rsidR="00000000" w:rsidDel="00000000" w:rsidP="00000000" w:rsidRDefault="00000000" w:rsidRPr="00000000" w14:paraId="00000040">
      <w:pPr>
        <w:ind w:right="-7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Print Name/Sign (High School Liaison)</w:t>
        <w:tab/>
        <w:tab/>
        <w:tab/>
        <w:t xml:space="preserve">Print Name/Sign (College Division Chair/OPD)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ague Spartan Medium">
    <w:embedRegular w:fontKey="{00000000-0000-0000-0000-000000000000}" r:id="rId1" w:subsetted="0"/>
    <w:embedBold w:fontKey="{00000000-0000-0000-0000-000000000000}" r:id="rId2" w:subsetted="0"/>
  </w:font>
  <w:font w:name="League Spartan">
    <w:embedRegular w:fontKey="{00000000-0000-0000-0000-000000000000}" r:id="rId3" w:subsetted="0"/>
    <w:embedBold w:fontKey="{00000000-0000-0000-0000-000000000000}" r:id="rId4" w:subsetted="0"/>
  </w:font>
  <w:font w:name="Libre Baskervill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Page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of 2</w:t>
      <w:tab/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spacing w:line="240" w:lineRule="auto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Page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of 2</w:t>
    </w:r>
  </w:p>
  <w:p w:rsidR="00000000" w:rsidDel="00000000" w:rsidP="00000000" w:rsidRDefault="00000000" w:rsidRPr="00000000" w14:paraId="00000047">
    <w:pPr>
      <w:spacing w:line="240" w:lineRule="auto"/>
      <w:ind w:right="-450"/>
      <w:rPr>
        <w:color w:val="666666"/>
        <w:sz w:val="20"/>
        <w:szCs w:val="20"/>
      </w:rPr>
    </w:pPr>
    <w:hyperlink r:id="rId1">
      <w:r w:rsidDel="00000000" w:rsidR="00000000" w:rsidRPr="00000000">
        <w:rPr>
          <w:color w:val="666666"/>
          <w:sz w:val="20"/>
          <w:szCs w:val="20"/>
          <w:highlight w:val="white"/>
          <w:rtl w:val="0"/>
        </w:rPr>
        <w:t xml:space="preserve">Instructor Qualifications Form Dual Enrollment </w:t>
      </w:r>
    </w:hyperlink>
    <w:r w:rsidDel="00000000" w:rsidR="00000000" w:rsidRPr="00000000">
      <w:rPr>
        <w:color w:val="666666"/>
        <w:sz w:val="20"/>
        <w:szCs w:val="20"/>
        <w:highlight w:val="white"/>
        <w:rtl w:val="0"/>
      </w:rPr>
      <w:t xml:space="preserve">© 2024 by Center for the Future of Arizona and Level Up Education Pathways Consulting, LLC is licensed under </w:t>
    </w:r>
    <w:hyperlink r:id="rId2">
      <w:r w:rsidDel="00000000" w:rsidR="00000000" w:rsidRPr="00000000">
        <w:rPr>
          <w:color w:val="666666"/>
          <w:sz w:val="20"/>
          <w:szCs w:val="20"/>
          <w:highlight w:val="white"/>
          <w:rtl w:val="0"/>
        </w:rPr>
        <w:t xml:space="preserve">CC BY-NC-SA 4.0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rPr>
        <w:sz w:val="20"/>
        <w:szCs w:val="20"/>
      </w:rPr>
    </w:pPr>
    <w:r w:rsidDel="00000000" w:rsidR="00000000" w:rsidRPr="00000000">
      <w:rPr>
        <w:sz w:val="20"/>
        <w:szCs w:val="20"/>
      </w:rPr>
      <w:pict>
        <v:shape id="PowerPlusWaterMarkObject2" style="position:absolute;width:512.4833477048508pt;height:149.36859948575787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SAMPLE" style="font-family:&amp;quot;Times New Roman&amp;quot;;font-size:1pt;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rPr>
        <w:sz w:val="10"/>
        <w:szCs w:val="1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>
        <w:sz w:val="20"/>
        <w:szCs w:val="20"/>
      </w:rPr>
    </w:pPr>
    <w:r w:rsidDel="00000000" w:rsidR="00000000" w:rsidRPr="00000000">
      <w:rPr/>
      <w:pict>
        <v:shape id="PowerPlusWaterMarkObject1" style="position:absolute;width:512.4833477048508pt;height:149.36859948575787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SAMPLE" style="font-family:&amp;quot;Times New Roman&amp;quot;;font-size:1pt;"/>
        </v:shape>
      </w:pict>
    </w:r>
    <w:r w:rsidDel="00000000" w:rsidR="00000000" w:rsidRPr="00000000">
      <w:rPr/>
      <w:drawing>
        <wp:inline distB="114300" distT="114300" distL="114300" distR="114300">
          <wp:extent cx="2583656" cy="9667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83656" cy="966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re Baskerville" w:cs="Libre Baskerville" w:eastAsia="Libre Baskerville" w:hAnsi="Libre Baskerville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League Spartan" w:cs="League Spartan" w:eastAsia="League Spartan" w:hAnsi="League Spartan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League Spartan" w:cs="League Spartan" w:eastAsia="League Spartan" w:hAnsi="League Spartan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League Spartan Medium" w:cs="League Spartan Medium" w:eastAsia="League Spartan Medium" w:hAnsi="League Spartan Medium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Libre Baskerville" w:cs="Libre Baskerville" w:eastAsia="Libre Baskerville" w:hAnsi="Libre Baskerville"/>
      <w:i w:val="1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agueSpartanMedium-regular.ttf"/><Relationship Id="rId2" Type="http://schemas.openxmlformats.org/officeDocument/2006/relationships/font" Target="fonts/LeagueSpartanMedium-bold.ttf"/><Relationship Id="rId3" Type="http://schemas.openxmlformats.org/officeDocument/2006/relationships/font" Target="fonts/LeagueSpartan-regular.ttf"/><Relationship Id="rId4" Type="http://schemas.openxmlformats.org/officeDocument/2006/relationships/font" Target="fonts/LeagueSpartan-bold.ttf"/><Relationship Id="rId5" Type="http://schemas.openxmlformats.org/officeDocument/2006/relationships/font" Target="fonts/LibreBaskerville-regular.ttf"/><Relationship Id="rId6" Type="http://schemas.openxmlformats.org/officeDocument/2006/relationships/font" Target="fonts/LibreBaskerville-bold.ttf"/><Relationship Id="rId7" Type="http://schemas.openxmlformats.org/officeDocument/2006/relationships/font" Target="fonts/LibreBaskerville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cg7PRY2218uzrskjsPqChJzcf9k9mM0q/view?usp=sharing" TargetMode="External"/><Relationship Id="rId2" Type="http://schemas.openxmlformats.org/officeDocument/2006/relationships/hyperlink" Target="https://creativecommons.org/licenses/by-nc-sa/4.0/?ref=chooser-v1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